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971F6">
      <w:pPr>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val="0"/>
          <w:snapToGrid w:val="0"/>
          <w:color w:val="auto"/>
          <w:kern w:val="0"/>
          <w:sz w:val="36"/>
          <w:szCs w:val="36"/>
          <w:highlight w:val="none"/>
          <w:lang w:eastAsia="zh-CN"/>
        </w:rPr>
      </w:pPr>
      <w:bookmarkStart w:id="30" w:name="_GoBack"/>
      <w:bookmarkEnd w:id="30"/>
      <w:r>
        <w:rPr>
          <w:rFonts w:hint="eastAsia" w:ascii="仿宋" w:hAnsi="仿宋" w:eastAsia="仿宋" w:cs="仿宋"/>
          <w:b/>
          <w:bCs w:val="0"/>
          <w:snapToGrid w:val="0"/>
          <w:color w:val="auto"/>
          <w:kern w:val="0"/>
          <w:sz w:val="36"/>
          <w:szCs w:val="36"/>
          <w:highlight w:val="none"/>
          <w:lang w:val="en-US" w:eastAsia="zh-CN"/>
        </w:rPr>
        <w:t>槽钢加工线产能提升改造</w:t>
      </w:r>
      <w:r>
        <w:rPr>
          <w:rFonts w:hint="eastAsia" w:ascii="仿宋" w:hAnsi="仿宋" w:eastAsia="仿宋" w:cs="仿宋"/>
          <w:b/>
          <w:bCs w:val="0"/>
          <w:snapToGrid w:val="0"/>
          <w:color w:val="auto"/>
          <w:kern w:val="0"/>
          <w:sz w:val="36"/>
          <w:szCs w:val="36"/>
          <w:highlight w:val="none"/>
          <w:lang w:eastAsia="zh-CN"/>
        </w:rPr>
        <w:t>谈判采购公告</w:t>
      </w:r>
    </w:p>
    <w:p w14:paraId="00793ADD">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
          <w:color w:val="auto"/>
          <w:highlight w:val="none"/>
        </w:rPr>
      </w:pPr>
    </w:p>
    <w:p w14:paraId="5CBA132E">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Cs/>
          <w:snapToGrid w:val="0"/>
          <w:color w:val="auto"/>
          <w:kern w:val="0"/>
          <w:sz w:val="24"/>
          <w:szCs w:val="24"/>
          <w:highlight w:val="none"/>
        </w:rPr>
      </w:pPr>
      <w:r>
        <w:rPr>
          <w:rFonts w:hint="eastAsia" w:ascii="仿宋" w:hAnsi="仿宋" w:eastAsia="仿宋" w:cs="仿宋"/>
          <w:bCs/>
          <w:snapToGrid w:val="0"/>
          <w:color w:val="auto"/>
          <w:kern w:val="0"/>
          <w:sz w:val="24"/>
          <w:szCs w:val="24"/>
          <w:highlight w:val="none"/>
          <w:lang w:eastAsia="zh-CN"/>
        </w:rPr>
        <w:t>安徽省招标集团股份有限公司受安徽好运机械有限公司</w:t>
      </w:r>
      <w:r>
        <w:rPr>
          <w:rFonts w:hint="eastAsia" w:ascii="仿宋" w:hAnsi="仿宋" w:eastAsia="仿宋" w:cs="仿宋"/>
          <w:bCs/>
          <w:snapToGrid w:val="0"/>
          <w:color w:val="auto"/>
          <w:kern w:val="0"/>
          <w:sz w:val="24"/>
          <w:szCs w:val="24"/>
          <w:highlight w:val="none"/>
        </w:rPr>
        <w:t>委托，现对</w:t>
      </w:r>
      <w:r>
        <w:rPr>
          <w:rFonts w:hint="eastAsia" w:ascii="仿宋" w:hAnsi="仿宋" w:eastAsia="仿宋" w:cs="仿宋"/>
          <w:bCs/>
          <w:snapToGrid w:val="0"/>
          <w:color w:val="auto"/>
          <w:kern w:val="0"/>
          <w:sz w:val="24"/>
          <w:szCs w:val="24"/>
          <w:highlight w:val="none"/>
          <w:lang w:val="en-US" w:eastAsia="zh-CN"/>
        </w:rPr>
        <w:t>槽钢加工线产能提升改造项目</w:t>
      </w:r>
      <w:r>
        <w:rPr>
          <w:rFonts w:hint="eastAsia" w:ascii="仿宋" w:hAnsi="仿宋" w:eastAsia="仿宋" w:cs="仿宋"/>
          <w:b w:val="0"/>
          <w:bCs/>
          <w:snapToGrid w:val="0"/>
          <w:color w:val="auto"/>
          <w:kern w:val="0"/>
          <w:sz w:val="24"/>
          <w:szCs w:val="24"/>
          <w:highlight w:val="none"/>
          <w:lang w:val="en-US" w:eastAsia="zh-CN"/>
        </w:rPr>
        <w:t>进行</w:t>
      </w:r>
      <w:r>
        <w:rPr>
          <w:rFonts w:hint="eastAsia" w:ascii="仿宋" w:hAnsi="仿宋" w:eastAsia="仿宋" w:cs="仿宋"/>
          <w:b w:val="0"/>
          <w:bCs/>
          <w:color w:val="auto"/>
          <w:sz w:val="24"/>
          <w:szCs w:val="24"/>
          <w:highlight w:val="none"/>
          <w:lang w:eastAsia="zh-CN"/>
        </w:rPr>
        <w:t>谈判采购</w:t>
      </w:r>
      <w:r>
        <w:rPr>
          <w:rFonts w:hint="eastAsia" w:ascii="仿宋" w:hAnsi="仿宋" w:eastAsia="仿宋" w:cs="仿宋"/>
          <w:b w:val="0"/>
          <w:bCs/>
          <w:snapToGrid w:val="0"/>
          <w:color w:val="auto"/>
          <w:kern w:val="0"/>
          <w:sz w:val="24"/>
          <w:szCs w:val="24"/>
          <w:highlight w:val="none"/>
        </w:rPr>
        <w:t>，欢迎具备条</w:t>
      </w:r>
      <w:r>
        <w:rPr>
          <w:rFonts w:hint="eastAsia" w:ascii="仿宋" w:hAnsi="仿宋" w:eastAsia="仿宋" w:cs="仿宋"/>
          <w:bCs/>
          <w:snapToGrid w:val="0"/>
          <w:color w:val="auto"/>
          <w:kern w:val="0"/>
          <w:sz w:val="24"/>
          <w:szCs w:val="24"/>
          <w:highlight w:val="none"/>
        </w:rPr>
        <w:t>件的</w:t>
      </w:r>
      <w:r>
        <w:rPr>
          <w:rFonts w:hint="eastAsia" w:ascii="仿宋" w:hAnsi="仿宋" w:eastAsia="仿宋" w:cs="仿宋"/>
          <w:bCs/>
          <w:snapToGrid w:val="0"/>
          <w:color w:val="auto"/>
          <w:kern w:val="0"/>
          <w:sz w:val="24"/>
          <w:szCs w:val="24"/>
          <w:highlight w:val="none"/>
          <w:lang w:val="en-US" w:eastAsia="zh-CN"/>
        </w:rPr>
        <w:t>供应商</w:t>
      </w:r>
      <w:r>
        <w:rPr>
          <w:rFonts w:hint="eastAsia" w:ascii="仿宋" w:hAnsi="仿宋" w:eastAsia="仿宋" w:cs="仿宋"/>
          <w:bCs/>
          <w:snapToGrid w:val="0"/>
          <w:color w:val="auto"/>
          <w:kern w:val="0"/>
          <w:sz w:val="24"/>
          <w:szCs w:val="24"/>
          <w:highlight w:val="none"/>
        </w:rPr>
        <w:t>参加。</w:t>
      </w:r>
    </w:p>
    <w:p w14:paraId="0468C6C6">
      <w:pPr>
        <w:pStyle w:val="5"/>
        <w:pageBreakBefore w:val="0"/>
        <w:widowControl w:val="0"/>
        <w:kinsoku/>
        <w:wordWrap/>
        <w:overflowPunct/>
        <w:topLinePunct w:val="0"/>
        <w:autoSpaceDE/>
        <w:autoSpaceDN/>
        <w:bidi w:val="0"/>
        <w:adjustRightInd/>
        <w:snapToGrid w:val="0"/>
        <w:spacing w:before="0" w:after="0" w:line="360" w:lineRule="auto"/>
        <w:textAlignment w:val="auto"/>
        <w:rPr>
          <w:rFonts w:hint="eastAsia" w:ascii="Times New Roman" w:hAnsi="Times New Roman" w:eastAsia="仿宋" w:cs="Times New Roman"/>
          <w:b/>
          <w:bCs/>
          <w:color w:val="auto"/>
          <w:highlight w:val="none"/>
        </w:rPr>
      </w:pPr>
      <w:r>
        <w:rPr>
          <w:rFonts w:hint="eastAsia" w:ascii="Times New Roman" w:hAnsi="Times New Roman" w:eastAsia="仿宋" w:cs="Times New Roman"/>
          <w:b/>
          <w:bCs/>
          <w:color w:val="auto"/>
          <w:highlight w:val="none"/>
        </w:rPr>
        <w:t>1. 采购条件</w:t>
      </w:r>
    </w:p>
    <w:p w14:paraId="31A6CFF9">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color w:val="auto"/>
          <w:sz w:val="24"/>
          <w:szCs w:val="24"/>
          <w:highlight w:val="none"/>
          <w:u w:val="single"/>
        </w:rPr>
      </w:pPr>
      <w:r>
        <w:rPr>
          <w:rFonts w:hint="eastAsia" w:ascii="仿宋" w:hAnsi="仿宋" w:eastAsia="仿宋" w:cs="仿宋"/>
          <w:bCs/>
          <w:snapToGrid w:val="0"/>
          <w:color w:val="auto"/>
          <w:kern w:val="0"/>
          <w:sz w:val="24"/>
          <w:szCs w:val="24"/>
          <w:highlight w:val="none"/>
        </w:rPr>
        <w:t>1.1 项目名称：</w:t>
      </w:r>
      <w:r>
        <w:rPr>
          <w:rFonts w:hint="eastAsia" w:ascii="仿宋" w:hAnsi="仿宋" w:eastAsia="仿宋" w:cs="仿宋"/>
          <w:bCs/>
          <w:snapToGrid w:val="0"/>
          <w:color w:val="auto"/>
          <w:kern w:val="0"/>
          <w:sz w:val="24"/>
          <w:szCs w:val="24"/>
          <w:highlight w:val="none"/>
          <w:lang w:val="en-US" w:eastAsia="zh-CN"/>
        </w:rPr>
        <w:t>槽钢加工线产能提升改造</w:t>
      </w:r>
    </w:p>
    <w:p w14:paraId="344F8244">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color w:val="auto"/>
          <w:sz w:val="24"/>
          <w:szCs w:val="24"/>
          <w:highlight w:val="none"/>
          <w:u w:val="single"/>
          <w:lang w:eastAsia="zh-CN"/>
        </w:rPr>
      </w:pPr>
      <w:r>
        <w:rPr>
          <w:rFonts w:hint="eastAsia" w:ascii="仿宋" w:hAnsi="仿宋" w:eastAsia="仿宋" w:cs="仿宋"/>
          <w:bCs/>
          <w:snapToGrid w:val="0"/>
          <w:color w:val="auto"/>
          <w:kern w:val="0"/>
          <w:sz w:val="24"/>
          <w:szCs w:val="24"/>
          <w:highlight w:val="none"/>
        </w:rPr>
        <w:t>1.</w:t>
      </w:r>
      <w:r>
        <w:rPr>
          <w:rFonts w:hint="eastAsia" w:ascii="仿宋" w:hAnsi="仿宋" w:eastAsia="仿宋" w:cs="仿宋"/>
          <w:bCs/>
          <w:snapToGrid w:val="0"/>
          <w:color w:val="auto"/>
          <w:kern w:val="0"/>
          <w:sz w:val="24"/>
          <w:szCs w:val="24"/>
          <w:highlight w:val="none"/>
          <w:lang w:val="en-US" w:eastAsia="zh-CN"/>
        </w:rPr>
        <w:t>2</w:t>
      </w:r>
      <w:r>
        <w:rPr>
          <w:rFonts w:hint="eastAsia" w:ascii="仿宋" w:hAnsi="仿宋" w:eastAsia="仿宋" w:cs="仿宋"/>
          <w:bCs/>
          <w:snapToGrid w:val="0"/>
          <w:color w:val="auto"/>
          <w:kern w:val="0"/>
          <w:sz w:val="24"/>
          <w:szCs w:val="24"/>
          <w:highlight w:val="none"/>
        </w:rPr>
        <w:t xml:space="preserve"> 采购人：</w:t>
      </w:r>
      <w:r>
        <w:rPr>
          <w:rFonts w:hint="eastAsia" w:ascii="仿宋" w:hAnsi="仿宋" w:eastAsia="仿宋" w:cs="仿宋"/>
          <w:bCs/>
          <w:snapToGrid w:val="0"/>
          <w:color w:val="auto"/>
          <w:kern w:val="0"/>
          <w:sz w:val="24"/>
          <w:szCs w:val="24"/>
          <w:highlight w:val="none"/>
          <w:lang w:eastAsia="zh-CN"/>
        </w:rPr>
        <w:t>安徽好运机械有限公司</w:t>
      </w:r>
    </w:p>
    <w:p w14:paraId="2E9BEC3B">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color w:val="auto"/>
          <w:sz w:val="24"/>
          <w:szCs w:val="24"/>
          <w:highlight w:val="none"/>
          <w:u w:val="single"/>
        </w:rPr>
      </w:pPr>
      <w:r>
        <w:rPr>
          <w:rFonts w:hint="eastAsia" w:ascii="仿宋" w:hAnsi="仿宋" w:eastAsia="仿宋" w:cs="仿宋"/>
          <w:bCs/>
          <w:snapToGrid w:val="0"/>
          <w:color w:val="auto"/>
          <w:kern w:val="0"/>
          <w:sz w:val="24"/>
          <w:szCs w:val="24"/>
          <w:highlight w:val="none"/>
        </w:rPr>
        <w:t>1.</w:t>
      </w:r>
      <w:r>
        <w:rPr>
          <w:rFonts w:hint="eastAsia" w:ascii="仿宋" w:hAnsi="仿宋" w:eastAsia="仿宋" w:cs="仿宋"/>
          <w:bCs/>
          <w:snapToGrid w:val="0"/>
          <w:color w:val="auto"/>
          <w:kern w:val="0"/>
          <w:sz w:val="24"/>
          <w:szCs w:val="24"/>
          <w:highlight w:val="none"/>
          <w:lang w:val="en-US" w:eastAsia="zh-CN"/>
        </w:rPr>
        <w:t>3</w:t>
      </w:r>
      <w:r>
        <w:rPr>
          <w:rFonts w:hint="eastAsia" w:ascii="仿宋" w:hAnsi="仿宋" w:eastAsia="仿宋" w:cs="仿宋"/>
          <w:bCs/>
          <w:snapToGrid w:val="0"/>
          <w:color w:val="auto"/>
          <w:kern w:val="0"/>
          <w:sz w:val="24"/>
          <w:szCs w:val="24"/>
          <w:highlight w:val="none"/>
        </w:rPr>
        <w:t xml:space="preserve"> 资金来源：自筹资金</w:t>
      </w:r>
    </w:p>
    <w:p w14:paraId="4ECFA6DB">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color w:val="auto"/>
          <w:sz w:val="24"/>
          <w:szCs w:val="24"/>
          <w:highlight w:val="none"/>
        </w:rPr>
      </w:pPr>
      <w:r>
        <w:rPr>
          <w:rFonts w:hint="eastAsia" w:ascii="仿宋" w:hAnsi="仿宋" w:eastAsia="仿宋" w:cs="仿宋"/>
          <w:bCs/>
          <w:snapToGrid w:val="0"/>
          <w:color w:val="auto"/>
          <w:kern w:val="0"/>
          <w:sz w:val="24"/>
          <w:szCs w:val="24"/>
          <w:highlight w:val="none"/>
        </w:rPr>
        <w:t>1.</w:t>
      </w:r>
      <w:r>
        <w:rPr>
          <w:rFonts w:hint="eastAsia" w:ascii="仿宋" w:hAnsi="仿宋" w:eastAsia="仿宋" w:cs="仿宋"/>
          <w:bCs/>
          <w:snapToGrid w:val="0"/>
          <w:color w:val="auto"/>
          <w:kern w:val="0"/>
          <w:sz w:val="24"/>
          <w:szCs w:val="24"/>
          <w:highlight w:val="none"/>
          <w:lang w:val="en-US" w:eastAsia="zh-CN"/>
        </w:rPr>
        <w:t>4</w:t>
      </w:r>
      <w:r>
        <w:rPr>
          <w:rFonts w:hint="eastAsia" w:ascii="仿宋" w:hAnsi="仿宋" w:eastAsia="仿宋" w:cs="仿宋"/>
          <w:bCs/>
          <w:snapToGrid w:val="0"/>
          <w:color w:val="auto"/>
          <w:kern w:val="0"/>
          <w:sz w:val="24"/>
          <w:szCs w:val="24"/>
          <w:highlight w:val="none"/>
        </w:rPr>
        <w:t xml:space="preserve"> 项目出资比例：100%</w:t>
      </w:r>
    </w:p>
    <w:p w14:paraId="75BD8533">
      <w:pPr>
        <w:pStyle w:val="5"/>
        <w:pageBreakBefore w:val="0"/>
        <w:widowControl w:val="0"/>
        <w:kinsoku/>
        <w:wordWrap/>
        <w:overflowPunct/>
        <w:topLinePunct w:val="0"/>
        <w:autoSpaceDE/>
        <w:autoSpaceDN/>
        <w:bidi w:val="0"/>
        <w:adjustRightInd/>
        <w:snapToGrid w:val="0"/>
        <w:spacing w:before="0" w:after="0" w:line="360" w:lineRule="auto"/>
        <w:textAlignment w:val="auto"/>
        <w:rPr>
          <w:rFonts w:hint="eastAsia" w:ascii="Times New Roman" w:hAnsi="Times New Roman" w:eastAsia="仿宋" w:cs="Times New Roman"/>
          <w:b/>
          <w:bCs/>
          <w:color w:val="auto"/>
          <w:highlight w:val="none"/>
        </w:rPr>
      </w:pPr>
      <w:r>
        <w:rPr>
          <w:rFonts w:hint="eastAsia" w:ascii="Times New Roman" w:hAnsi="Times New Roman" w:eastAsia="仿宋" w:cs="Times New Roman"/>
          <w:b/>
          <w:bCs/>
          <w:color w:val="auto"/>
          <w:highlight w:val="none"/>
        </w:rPr>
        <w:t>2. 采购项目概况与采购范围</w:t>
      </w:r>
    </w:p>
    <w:p w14:paraId="1937CA27">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Cs/>
          <w:snapToGrid w:val="0"/>
          <w:color w:val="auto"/>
          <w:kern w:val="0"/>
          <w:sz w:val="24"/>
          <w:szCs w:val="24"/>
          <w:highlight w:val="none"/>
          <w:lang w:eastAsia="zh-CN"/>
        </w:rPr>
      </w:pPr>
      <w:r>
        <w:rPr>
          <w:rFonts w:hint="eastAsia" w:ascii="仿宋" w:hAnsi="仿宋" w:eastAsia="仿宋" w:cs="仿宋"/>
          <w:bCs/>
          <w:snapToGrid w:val="0"/>
          <w:color w:val="auto"/>
          <w:kern w:val="0"/>
          <w:sz w:val="24"/>
          <w:szCs w:val="24"/>
          <w:highlight w:val="none"/>
        </w:rPr>
        <w:t>2.</w:t>
      </w:r>
      <w:r>
        <w:rPr>
          <w:rFonts w:hint="eastAsia" w:ascii="仿宋" w:hAnsi="仿宋" w:eastAsia="仿宋" w:cs="仿宋"/>
          <w:bCs/>
          <w:snapToGrid w:val="0"/>
          <w:color w:val="auto"/>
          <w:kern w:val="0"/>
          <w:sz w:val="24"/>
          <w:szCs w:val="24"/>
          <w:highlight w:val="none"/>
          <w:lang w:val="en-US" w:eastAsia="zh-CN"/>
        </w:rPr>
        <w:t>1</w:t>
      </w:r>
      <w:r>
        <w:rPr>
          <w:rFonts w:hint="eastAsia" w:ascii="仿宋" w:hAnsi="仿宋" w:eastAsia="仿宋" w:cs="仿宋"/>
          <w:bCs/>
          <w:snapToGrid w:val="0"/>
          <w:color w:val="auto"/>
          <w:kern w:val="0"/>
          <w:sz w:val="24"/>
          <w:szCs w:val="24"/>
          <w:highlight w:val="none"/>
        </w:rPr>
        <w:t xml:space="preserve"> 采购项目编号：</w:t>
      </w:r>
      <w:r>
        <w:rPr>
          <w:rFonts w:hint="eastAsia" w:ascii="仿宋" w:hAnsi="仿宋" w:eastAsia="仿宋" w:cs="仿宋"/>
          <w:bCs/>
          <w:snapToGrid w:val="0"/>
          <w:color w:val="auto"/>
          <w:kern w:val="0"/>
          <w:sz w:val="24"/>
          <w:szCs w:val="24"/>
          <w:highlight w:val="none"/>
          <w:lang w:eastAsia="zh-CN"/>
        </w:rPr>
        <w:t>GN2026-07-6623</w:t>
      </w:r>
    </w:p>
    <w:p w14:paraId="7FA1A33B">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Cs/>
          <w:snapToGrid w:val="0"/>
          <w:color w:val="auto"/>
          <w:kern w:val="0"/>
          <w:sz w:val="24"/>
          <w:szCs w:val="24"/>
          <w:highlight w:val="none"/>
        </w:rPr>
      </w:pPr>
      <w:r>
        <w:rPr>
          <w:rFonts w:hint="eastAsia" w:ascii="仿宋" w:hAnsi="仿宋" w:eastAsia="仿宋" w:cs="仿宋"/>
          <w:bCs/>
          <w:snapToGrid w:val="0"/>
          <w:color w:val="auto"/>
          <w:kern w:val="0"/>
          <w:sz w:val="24"/>
          <w:szCs w:val="24"/>
          <w:highlight w:val="none"/>
        </w:rPr>
        <w:t>2.</w:t>
      </w:r>
      <w:r>
        <w:rPr>
          <w:rFonts w:hint="eastAsia" w:ascii="仿宋" w:hAnsi="仿宋" w:eastAsia="仿宋" w:cs="仿宋"/>
          <w:bCs/>
          <w:snapToGrid w:val="0"/>
          <w:color w:val="auto"/>
          <w:kern w:val="0"/>
          <w:sz w:val="24"/>
          <w:szCs w:val="24"/>
          <w:highlight w:val="none"/>
          <w:lang w:val="en-US" w:eastAsia="zh-CN"/>
        </w:rPr>
        <w:t>2</w:t>
      </w:r>
      <w:r>
        <w:rPr>
          <w:rFonts w:hint="eastAsia" w:ascii="仿宋" w:hAnsi="仿宋" w:eastAsia="仿宋" w:cs="仿宋"/>
          <w:bCs/>
          <w:snapToGrid w:val="0"/>
          <w:color w:val="auto"/>
          <w:kern w:val="0"/>
          <w:sz w:val="24"/>
          <w:szCs w:val="24"/>
          <w:highlight w:val="none"/>
        </w:rPr>
        <w:t xml:space="preserve"> 响应包划分：本项目划分</w:t>
      </w:r>
      <w:r>
        <w:rPr>
          <w:rFonts w:hint="eastAsia" w:ascii="仿宋" w:hAnsi="仿宋" w:eastAsia="仿宋" w:cs="仿宋"/>
          <w:bCs/>
          <w:snapToGrid w:val="0"/>
          <w:color w:val="auto"/>
          <w:kern w:val="0"/>
          <w:sz w:val="24"/>
          <w:szCs w:val="24"/>
          <w:highlight w:val="none"/>
          <w:lang w:val="en-US" w:eastAsia="zh-CN"/>
        </w:rPr>
        <w:t>1</w:t>
      </w:r>
      <w:r>
        <w:rPr>
          <w:rFonts w:hint="eastAsia" w:ascii="仿宋" w:hAnsi="仿宋" w:eastAsia="仿宋" w:cs="仿宋"/>
          <w:bCs/>
          <w:snapToGrid w:val="0"/>
          <w:color w:val="auto"/>
          <w:kern w:val="0"/>
          <w:sz w:val="24"/>
          <w:szCs w:val="24"/>
          <w:highlight w:val="none"/>
        </w:rPr>
        <w:t>个响应包</w:t>
      </w:r>
    </w:p>
    <w:p w14:paraId="17AA7856">
      <w:pPr>
        <w:pageBreakBefore w:val="0"/>
        <w:widowControl w:val="0"/>
        <w:kinsoku/>
        <w:wordWrap/>
        <w:overflowPunct/>
        <w:topLinePunct w:val="0"/>
        <w:autoSpaceDE/>
        <w:autoSpaceDN/>
        <w:bidi w:val="0"/>
        <w:adjustRightInd/>
        <w:snapToGrid w:val="0"/>
        <w:spacing w:line="360" w:lineRule="auto"/>
        <w:ind w:firstLine="437"/>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2.3 项目包号：GN2026-07-6623</w:t>
      </w:r>
    </w:p>
    <w:p w14:paraId="22CC8A61">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2.4 采购范围：安徽好运机械有限公司通过谈判采购的方式，各包选择一家供应商承担槽钢加工线产能提升改造项目，包括但不限于整个项目的设计、制造、包装、运输、安装、调试、现场支持及培训、售后服务等工作，本项目为交钥匙工程。主要包括：内门架槽钢加工线改造，内门架槽钢线增加一台BT50主轴的加工中心，用于加工内门架槽钢火焰切割后的平面、配套内门架槽钢加工的自动化夹紧模具、改造后的输送辊道以及控制程序等。外门架槽钢线改造，外门架槽钢线增加一台BT50主轴的加工中心，用于加工外门架槽钢切割后的平面；配套外门架槽钢加工的自动化夹紧模具、改造后的输送辊道以及控制程序等。具体详见采购文件。</w:t>
      </w:r>
    </w:p>
    <w:p w14:paraId="029A8358">
      <w:pPr>
        <w:pageBreakBefore w:val="0"/>
        <w:widowControl w:val="0"/>
        <w:kinsoku/>
        <w:wordWrap/>
        <w:overflowPunct/>
        <w:topLinePunct w:val="0"/>
        <w:autoSpaceDE/>
        <w:autoSpaceDN/>
        <w:bidi w:val="0"/>
        <w:adjustRightInd/>
        <w:snapToGrid w:val="0"/>
        <w:spacing w:line="360" w:lineRule="auto"/>
        <w:ind w:left="479" w:leftChars="228" w:firstLine="19" w:firstLineChars="8"/>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2.5 交货及安装地点：安徽好运机械有限公司金结车间槽钢生产线</w:t>
      </w:r>
      <w:r>
        <w:rPr>
          <w:rFonts w:hint="eastAsia" w:ascii="仿宋" w:hAnsi="仿宋" w:eastAsia="仿宋" w:cs="仿宋"/>
          <w:bCs/>
          <w:snapToGrid w:val="0"/>
          <w:color w:val="auto"/>
          <w:kern w:val="0"/>
          <w:sz w:val="24"/>
          <w:szCs w:val="24"/>
          <w:highlight w:val="none"/>
          <w:lang w:val="zh-CN" w:eastAsia="zh-CN"/>
        </w:rPr>
        <w:t>，采购</w:t>
      </w:r>
      <w:r>
        <w:rPr>
          <w:rFonts w:hint="eastAsia" w:ascii="仿宋" w:hAnsi="仿宋" w:eastAsia="仿宋" w:cs="仿宋"/>
          <w:bCs/>
          <w:snapToGrid w:val="0"/>
          <w:color w:val="auto"/>
          <w:kern w:val="0"/>
          <w:sz w:val="24"/>
          <w:szCs w:val="24"/>
          <w:highlight w:val="none"/>
          <w:lang w:val="en-US" w:eastAsia="zh-CN"/>
        </w:rPr>
        <w:t>人</w:t>
      </w:r>
      <w:r>
        <w:rPr>
          <w:rFonts w:hint="eastAsia" w:ascii="仿宋" w:hAnsi="仿宋" w:eastAsia="仿宋" w:cs="仿宋"/>
          <w:bCs/>
          <w:snapToGrid w:val="0"/>
          <w:color w:val="auto"/>
          <w:kern w:val="0"/>
          <w:sz w:val="24"/>
          <w:szCs w:val="24"/>
          <w:highlight w:val="none"/>
          <w:lang w:val="zh-CN" w:eastAsia="zh-CN"/>
        </w:rPr>
        <w:t>指定地点</w:t>
      </w:r>
      <w:r>
        <w:rPr>
          <w:rFonts w:hint="eastAsia" w:ascii="仿宋" w:hAnsi="仿宋" w:eastAsia="仿宋" w:cs="仿宋"/>
          <w:bCs/>
          <w:snapToGrid w:val="0"/>
          <w:color w:val="auto"/>
          <w:kern w:val="0"/>
          <w:sz w:val="24"/>
          <w:szCs w:val="24"/>
          <w:highlight w:val="none"/>
          <w:lang w:val="en-US" w:eastAsia="zh-CN"/>
        </w:rPr>
        <w:t>。</w:t>
      </w:r>
    </w:p>
    <w:p w14:paraId="06790703">
      <w:pPr>
        <w:pageBreakBefore w:val="0"/>
        <w:widowControl w:val="0"/>
        <w:kinsoku/>
        <w:wordWrap/>
        <w:overflowPunct/>
        <w:topLinePunct w:val="0"/>
        <w:autoSpaceDE/>
        <w:autoSpaceDN/>
        <w:bidi w:val="0"/>
        <w:adjustRightInd/>
        <w:snapToGrid w:val="0"/>
        <w:spacing w:line="360" w:lineRule="auto"/>
        <w:ind w:left="479" w:leftChars="228" w:firstLine="19" w:firstLineChars="8"/>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2.6 交货及安装周期：</w:t>
      </w:r>
    </w:p>
    <w:p w14:paraId="53AD6FAD">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交货期：自合同签订后90日历天内交货</w:t>
      </w:r>
      <w:r>
        <w:rPr>
          <w:rFonts w:hint="eastAsia" w:ascii="仿宋" w:hAnsi="仿宋" w:eastAsia="仿宋" w:cs="仿宋"/>
          <w:bCs/>
          <w:snapToGrid w:val="0"/>
          <w:color w:val="auto"/>
          <w:kern w:val="0"/>
          <w:sz w:val="24"/>
          <w:szCs w:val="24"/>
          <w:highlight w:val="none"/>
          <w:lang w:val="zh-CN" w:eastAsia="zh-CN"/>
        </w:rPr>
        <w:t>。</w:t>
      </w:r>
    </w:p>
    <w:p w14:paraId="669E3E7D">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
          <w:bCs w:val="0"/>
          <w:snapToGrid w:val="0"/>
          <w:color w:val="auto"/>
          <w:kern w:val="0"/>
          <w:sz w:val="24"/>
          <w:szCs w:val="24"/>
          <w:highlight w:val="none"/>
          <w:u w:val="single"/>
          <w:lang w:val="en-US" w:eastAsia="zh-CN"/>
        </w:rPr>
      </w:pPr>
      <w:r>
        <w:rPr>
          <w:rFonts w:hint="eastAsia" w:ascii="仿宋" w:hAnsi="仿宋" w:eastAsia="仿宋" w:cs="仿宋"/>
          <w:bCs/>
          <w:snapToGrid w:val="0"/>
          <w:color w:val="auto"/>
          <w:kern w:val="0"/>
          <w:sz w:val="24"/>
          <w:szCs w:val="24"/>
          <w:highlight w:val="none"/>
          <w:lang w:val="en-US" w:eastAsia="zh-CN"/>
        </w:rPr>
        <w:t>2.7 项目类别：</w:t>
      </w:r>
      <w:r>
        <w:rPr>
          <w:rFonts w:hint="eastAsia" w:ascii="仿宋" w:hAnsi="仿宋" w:eastAsia="仿宋" w:cs="仿宋"/>
          <w:b/>
          <w:bCs w:val="0"/>
          <w:snapToGrid w:val="0"/>
          <w:color w:val="auto"/>
          <w:kern w:val="0"/>
          <w:sz w:val="24"/>
          <w:szCs w:val="24"/>
          <w:highlight w:val="none"/>
          <w:u w:val="single"/>
          <w:lang w:val="en-US" w:eastAsia="zh-CN"/>
        </w:rPr>
        <w:t>货物类</w:t>
      </w:r>
    </w:p>
    <w:p w14:paraId="4E55CD6F">
      <w:pPr>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宋体" w:cs="仿宋"/>
          <w:color w:val="auto"/>
          <w:sz w:val="24"/>
          <w:szCs w:val="24"/>
          <w:highlight w:val="none"/>
          <w:u w:val="single"/>
          <w:lang w:eastAsia="zh-CN"/>
        </w:rPr>
      </w:pPr>
      <w:r>
        <w:rPr>
          <w:rFonts w:hint="eastAsia" w:ascii="仿宋" w:hAnsi="仿宋" w:eastAsia="仿宋" w:cs="仿宋"/>
          <w:bCs/>
          <w:snapToGrid w:val="0"/>
          <w:color w:val="auto"/>
          <w:kern w:val="0"/>
          <w:sz w:val="24"/>
          <w:szCs w:val="24"/>
          <w:highlight w:val="none"/>
          <w:lang w:val="en-US" w:eastAsia="zh-CN"/>
        </w:rPr>
        <w:t xml:space="preserve">2.8 其他：/ </w:t>
      </w:r>
      <w:r>
        <w:rPr>
          <w:color w:val="auto"/>
          <w:highlight w:val="none"/>
        </w:rPr>
        <w:t xml:space="preserve"> </w:t>
      </w:r>
    </w:p>
    <w:p w14:paraId="4A1CE4EB">
      <w:pPr>
        <w:pStyle w:val="5"/>
        <w:pageBreakBefore w:val="0"/>
        <w:widowControl w:val="0"/>
        <w:kinsoku/>
        <w:wordWrap/>
        <w:overflowPunct/>
        <w:topLinePunct w:val="0"/>
        <w:autoSpaceDE/>
        <w:autoSpaceDN/>
        <w:bidi w:val="0"/>
        <w:adjustRightInd/>
        <w:snapToGrid w:val="0"/>
        <w:spacing w:before="0" w:after="0" w:line="360" w:lineRule="auto"/>
        <w:textAlignment w:val="auto"/>
        <w:rPr>
          <w:rFonts w:hint="eastAsia" w:ascii="Times New Roman" w:hAnsi="Times New Roman" w:eastAsia="仿宋" w:cs="Times New Roman"/>
          <w:b/>
          <w:bCs/>
          <w:color w:val="auto"/>
          <w:highlight w:val="none"/>
        </w:rPr>
      </w:pPr>
      <w:bookmarkStart w:id="0" w:name="_Toc677"/>
      <w:r>
        <w:rPr>
          <w:rFonts w:hint="eastAsia" w:ascii="Times New Roman" w:hAnsi="Times New Roman" w:eastAsia="仿宋" w:cs="Times New Roman"/>
          <w:b/>
          <w:bCs/>
          <w:color w:val="auto"/>
          <w:highlight w:val="none"/>
        </w:rPr>
        <w:t>3.</w:t>
      </w:r>
      <w:r>
        <w:rPr>
          <w:rFonts w:hint="eastAsia" w:ascii="Times New Roman" w:hAnsi="Times New Roman" w:eastAsia="仿宋" w:cs="Times New Roman"/>
          <w:b/>
          <w:bCs/>
          <w:color w:val="auto"/>
          <w:highlight w:val="none"/>
          <w:lang w:val="en-US" w:eastAsia="zh-CN"/>
        </w:rPr>
        <w:t xml:space="preserve"> </w:t>
      </w:r>
      <w:r>
        <w:rPr>
          <w:rFonts w:hint="eastAsia" w:ascii="Times New Roman" w:hAnsi="Times New Roman" w:eastAsia="仿宋" w:cs="Times New Roman"/>
          <w:b/>
          <w:bCs/>
          <w:color w:val="auto"/>
          <w:highlight w:val="none"/>
        </w:rPr>
        <w:t>资格审查方式</w:t>
      </w:r>
      <w:bookmarkEnd w:id="0"/>
    </w:p>
    <w:p w14:paraId="31A08D56">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auto"/>
          <w:highlight w:val="none"/>
          <w:u w:val="single"/>
        </w:rPr>
      </w:pPr>
      <w:r>
        <w:rPr>
          <w:rFonts w:hint="eastAsia" w:ascii="Times New Roman" w:hAnsi="Times New Roman" w:eastAsia="仿宋"/>
          <w:color w:val="auto"/>
          <w:sz w:val="24"/>
          <w:szCs w:val="24"/>
          <w:highlight w:val="none"/>
        </w:rPr>
        <w:t>资格后审</w:t>
      </w:r>
    </w:p>
    <w:p w14:paraId="6B1CBE9A">
      <w:pPr>
        <w:pStyle w:val="5"/>
        <w:pageBreakBefore w:val="0"/>
        <w:widowControl w:val="0"/>
        <w:kinsoku/>
        <w:wordWrap/>
        <w:overflowPunct/>
        <w:topLinePunct w:val="0"/>
        <w:autoSpaceDE/>
        <w:autoSpaceDN/>
        <w:bidi w:val="0"/>
        <w:adjustRightInd/>
        <w:snapToGrid w:val="0"/>
        <w:spacing w:before="0" w:after="0" w:line="360" w:lineRule="auto"/>
        <w:textAlignment w:val="auto"/>
        <w:rPr>
          <w:rFonts w:hint="eastAsia" w:ascii="Times New Roman" w:hAnsi="Times New Roman" w:eastAsia="仿宋" w:cs="Times New Roman"/>
          <w:b/>
          <w:bCs/>
          <w:color w:val="auto"/>
          <w:highlight w:val="none"/>
        </w:rPr>
      </w:pPr>
      <w:r>
        <w:rPr>
          <w:rFonts w:hint="eastAsia" w:ascii="Times New Roman" w:hAnsi="Times New Roman" w:eastAsia="仿宋" w:cs="Times New Roman"/>
          <w:b/>
          <w:bCs/>
          <w:color w:val="auto"/>
          <w:highlight w:val="none"/>
          <w:lang w:val="en-US" w:eastAsia="zh-CN"/>
        </w:rPr>
        <w:t>4</w:t>
      </w:r>
      <w:r>
        <w:rPr>
          <w:rFonts w:hint="eastAsia" w:ascii="Times New Roman" w:hAnsi="Times New Roman" w:eastAsia="仿宋" w:cs="Times New Roman"/>
          <w:b/>
          <w:bCs/>
          <w:color w:val="auto"/>
          <w:highlight w:val="none"/>
        </w:rPr>
        <w:t>. 供应商资格要求</w:t>
      </w:r>
    </w:p>
    <w:p w14:paraId="1631B36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ascii="Times New Roman" w:hAnsi="Times New Roman" w:eastAsia="仿宋"/>
          <w:color w:val="auto"/>
          <w:sz w:val="24"/>
          <w:szCs w:val="24"/>
          <w:highlight w:val="none"/>
        </w:rPr>
      </w:pPr>
      <w:r>
        <w:rPr>
          <w:rFonts w:ascii="Times New Roman" w:hAnsi="Times New Roman" w:eastAsia="仿宋"/>
          <w:color w:val="auto"/>
          <w:sz w:val="24"/>
          <w:szCs w:val="24"/>
          <w:highlight w:val="none"/>
        </w:rPr>
        <w:t>4</w:t>
      </w:r>
      <w:r>
        <w:rPr>
          <w:rFonts w:hint="eastAsia" w:ascii="Times New Roman" w:hAnsi="Times New Roman" w:eastAsia="仿宋"/>
          <w:color w:val="auto"/>
          <w:sz w:val="24"/>
          <w:szCs w:val="24"/>
          <w:highlight w:val="none"/>
        </w:rPr>
        <w:t>.1资质要求：</w:t>
      </w:r>
      <w:r>
        <w:rPr>
          <w:rFonts w:hint="eastAsia" w:ascii="Times New Roman" w:hAnsi="Times New Roman" w:eastAsia="仿宋" w:cs="Times New Roman"/>
          <w:color w:val="auto"/>
          <w:sz w:val="24"/>
          <w:szCs w:val="24"/>
          <w:highlight w:val="none"/>
          <w:lang w:val="en-US" w:eastAsia="zh-CN"/>
        </w:rPr>
        <w:t>供应商</w:t>
      </w:r>
      <w:r>
        <w:rPr>
          <w:rFonts w:hint="eastAsia" w:ascii="Times New Roman" w:hAnsi="Times New Roman" w:eastAsia="仿宋" w:cs="Times New Roman"/>
          <w:bCs w:val="0"/>
          <w:snapToGrid/>
          <w:color w:val="auto"/>
          <w:kern w:val="2"/>
          <w:sz w:val="24"/>
          <w:szCs w:val="24"/>
          <w:highlight w:val="none"/>
        </w:rPr>
        <w:t>须具有</w:t>
      </w:r>
      <w:r>
        <w:rPr>
          <w:rFonts w:hint="eastAsia" w:ascii="Times New Roman" w:hAnsi="Times New Roman" w:eastAsia="仿宋" w:cs="Times New Roman"/>
          <w:bCs w:val="0"/>
          <w:snapToGrid/>
          <w:color w:val="auto"/>
          <w:sz w:val="24"/>
          <w:szCs w:val="24"/>
          <w:highlight w:val="none"/>
          <w:lang w:val="en-US" w:eastAsia="zh-CN"/>
        </w:rPr>
        <w:t>独立承担民事责任的能力，</w:t>
      </w:r>
      <w:r>
        <w:rPr>
          <w:rFonts w:hint="eastAsia" w:ascii="Times New Roman" w:hAnsi="Times New Roman" w:eastAsia="仿宋"/>
          <w:color w:val="auto"/>
          <w:sz w:val="24"/>
          <w:szCs w:val="24"/>
          <w:highlight w:val="none"/>
          <w:lang w:val="en-US" w:eastAsia="zh-CN"/>
        </w:rPr>
        <w:t>须为所投产品制造商或取得制造商授权的代理商</w:t>
      </w:r>
      <w:r>
        <w:rPr>
          <w:rFonts w:hint="eastAsia" w:ascii="Times New Roman" w:hAnsi="Times New Roman" w:eastAsia="仿宋" w:cs="Times New Roman"/>
          <w:color w:val="auto"/>
          <w:sz w:val="24"/>
          <w:szCs w:val="24"/>
          <w:highlight w:val="none"/>
          <w:lang w:eastAsia="zh-CN"/>
        </w:rPr>
        <w:t>。（</w:t>
      </w:r>
      <w:r>
        <w:rPr>
          <w:rFonts w:hint="eastAsia" w:ascii="Times New Roman" w:hAnsi="Times New Roman" w:eastAsia="仿宋" w:cs="Times New Roman"/>
          <w:color w:val="auto"/>
          <w:sz w:val="24"/>
          <w:szCs w:val="24"/>
          <w:highlight w:val="none"/>
          <w:lang w:val="en-US" w:eastAsia="zh-CN"/>
        </w:rPr>
        <w:t>证明材料须</w:t>
      </w:r>
      <w:r>
        <w:rPr>
          <w:rFonts w:hint="eastAsia" w:ascii="Times New Roman" w:hAnsi="Times New Roman" w:eastAsia="仿宋" w:cs="Times New Roman"/>
          <w:color w:val="auto"/>
          <w:sz w:val="24"/>
          <w:szCs w:val="24"/>
          <w:highlight w:val="none"/>
          <w:lang w:eastAsia="zh-CN"/>
        </w:rPr>
        <w:t>提供营业执照或事业单位法人登记证书，如代理商</w:t>
      </w:r>
      <w:r>
        <w:rPr>
          <w:rFonts w:hint="eastAsia" w:ascii="Times New Roman" w:hAnsi="Times New Roman" w:eastAsia="仿宋" w:cs="Times New Roman"/>
          <w:color w:val="auto"/>
          <w:sz w:val="24"/>
          <w:szCs w:val="24"/>
          <w:highlight w:val="none"/>
          <w:lang w:val="en-US" w:eastAsia="zh-CN"/>
        </w:rPr>
        <w:t>还</w:t>
      </w:r>
      <w:r>
        <w:rPr>
          <w:rFonts w:hint="eastAsia" w:ascii="Times New Roman" w:hAnsi="Times New Roman" w:eastAsia="仿宋" w:cs="Times New Roman"/>
          <w:color w:val="auto"/>
          <w:sz w:val="24"/>
          <w:szCs w:val="24"/>
          <w:highlight w:val="none"/>
          <w:lang w:eastAsia="zh-CN"/>
        </w:rPr>
        <w:t>须提供制造商授权书扫描件）</w:t>
      </w:r>
    </w:p>
    <w:p w14:paraId="5291442D">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imes New Roman" w:hAnsi="Times New Roman" w:eastAsia="仿宋"/>
          <w:color w:val="auto"/>
          <w:sz w:val="24"/>
          <w:szCs w:val="24"/>
          <w:highlight w:val="none"/>
        </w:rPr>
      </w:pPr>
      <w:r>
        <w:rPr>
          <w:rFonts w:ascii="Times New Roman" w:hAnsi="Times New Roman" w:eastAsia="仿宋"/>
          <w:color w:val="auto"/>
          <w:sz w:val="24"/>
          <w:szCs w:val="24"/>
          <w:highlight w:val="none"/>
        </w:rPr>
        <w:t>4</w:t>
      </w:r>
      <w:r>
        <w:rPr>
          <w:rFonts w:hint="eastAsia" w:ascii="Times New Roman" w:hAnsi="Times New Roman" w:eastAsia="仿宋"/>
          <w:color w:val="auto"/>
          <w:sz w:val="24"/>
          <w:szCs w:val="24"/>
          <w:highlight w:val="none"/>
        </w:rPr>
        <w:t>.</w:t>
      </w:r>
      <w:r>
        <w:rPr>
          <w:rFonts w:hint="eastAsia" w:ascii="Times New Roman" w:hAnsi="Times New Roman" w:eastAsia="仿宋"/>
          <w:color w:val="auto"/>
          <w:sz w:val="24"/>
          <w:szCs w:val="24"/>
          <w:highlight w:val="none"/>
          <w:lang w:val="en-US" w:eastAsia="zh-CN"/>
        </w:rPr>
        <w:t>2</w:t>
      </w:r>
      <w:r>
        <w:rPr>
          <w:rFonts w:hint="eastAsia" w:ascii="Times New Roman" w:hAnsi="Times New Roman" w:eastAsia="仿宋"/>
          <w:color w:val="auto"/>
          <w:sz w:val="24"/>
          <w:szCs w:val="24"/>
          <w:highlight w:val="none"/>
        </w:rPr>
        <w:t>财务要求：</w:t>
      </w:r>
    </w:p>
    <w:p w14:paraId="7242E488">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不得存在下列情形（须在响应文件中提供书面承诺）：</w:t>
      </w:r>
    </w:p>
    <w:p w14:paraId="58C5801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Times New Roman" w:hAnsi="Times New Roman" w:eastAsia="仿宋"/>
          <w:color w:val="auto"/>
          <w:sz w:val="24"/>
          <w:szCs w:val="24"/>
          <w:highlight w:val="none"/>
          <w:lang w:val="en-US" w:eastAsia="zh-CN"/>
        </w:rPr>
      </w:pPr>
      <w:r>
        <w:rPr>
          <w:rFonts w:hint="eastAsia" w:ascii="Times New Roman" w:hAnsi="Times New Roman" w:eastAsia="仿宋"/>
          <w:color w:val="auto"/>
          <w:sz w:val="24"/>
          <w:szCs w:val="24"/>
          <w:highlight w:val="none"/>
          <w:lang w:val="en-US" w:eastAsia="zh-CN"/>
        </w:rPr>
        <w:t>4.2.1被责令停业，暂扣或吊销执照，或吊销资质证书；</w:t>
      </w:r>
    </w:p>
    <w:p w14:paraId="6495681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Ansi="宋体" w:cs="宋体"/>
          <w:bCs/>
          <w:snapToGrid w:val="0"/>
          <w:color w:val="auto"/>
          <w:sz w:val="24"/>
          <w:szCs w:val="24"/>
          <w:highlight w:val="none"/>
        </w:rPr>
      </w:pPr>
      <w:r>
        <w:rPr>
          <w:rFonts w:hint="eastAsia" w:ascii="Times New Roman" w:hAnsi="Times New Roman" w:eastAsia="仿宋"/>
          <w:color w:val="auto"/>
          <w:sz w:val="24"/>
          <w:szCs w:val="24"/>
          <w:highlight w:val="none"/>
          <w:lang w:val="en-US" w:eastAsia="zh-CN"/>
        </w:rPr>
        <w:t>4.2.2进入清算程序，或被宣告破产，或其他丧失履约能力的情形。</w:t>
      </w:r>
    </w:p>
    <w:p w14:paraId="2A9EDD6C">
      <w:pPr>
        <w:keepNext w:val="0"/>
        <w:keepLines w:val="0"/>
        <w:pageBreakBefore w:val="0"/>
        <w:widowControl w:val="0"/>
        <w:kinsoku/>
        <w:wordWrap/>
        <w:overflowPunct/>
        <w:topLinePunct w:val="0"/>
        <w:autoSpaceDE/>
        <w:autoSpaceDN/>
        <w:bidi w:val="0"/>
        <w:adjustRightInd/>
        <w:snapToGrid w:val="0"/>
        <w:spacing w:line="360" w:lineRule="auto"/>
        <w:ind w:firstLine="437" w:firstLineChars="0"/>
        <w:jc w:val="left"/>
        <w:textAlignment w:val="auto"/>
        <w:rPr>
          <w:rFonts w:hAnsi="宋体" w:cs="宋体"/>
          <w:bCs/>
          <w:snapToGrid w:val="0"/>
          <w:color w:val="auto"/>
          <w:sz w:val="24"/>
          <w:szCs w:val="24"/>
          <w:highlight w:val="none"/>
        </w:rPr>
      </w:pPr>
      <w:r>
        <w:rPr>
          <w:rFonts w:ascii="Times New Roman" w:hAnsi="Times New Roman" w:eastAsia="仿宋"/>
          <w:color w:val="auto"/>
          <w:sz w:val="24"/>
          <w:szCs w:val="24"/>
          <w:highlight w:val="none"/>
        </w:rPr>
        <w:t>4</w:t>
      </w:r>
      <w:r>
        <w:rPr>
          <w:rFonts w:hint="eastAsia" w:ascii="Times New Roman" w:hAnsi="Times New Roman" w:eastAsia="仿宋"/>
          <w:color w:val="auto"/>
          <w:sz w:val="24"/>
          <w:szCs w:val="24"/>
          <w:highlight w:val="none"/>
        </w:rPr>
        <w:t>.</w:t>
      </w:r>
      <w:r>
        <w:rPr>
          <w:rFonts w:hint="eastAsia" w:ascii="Times New Roman" w:hAnsi="Times New Roman" w:eastAsia="仿宋"/>
          <w:color w:val="auto"/>
          <w:sz w:val="24"/>
          <w:szCs w:val="24"/>
          <w:highlight w:val="none"/>
          <w:lang w:val="en-US" w:eastAsia="zh-CN"/>
        </w:rPr>
        <w:t>3</w:t>
      </w:r>
      <w:r>
        <w:rPr>
          <w:rFonts w:hint="eastAsia" w:ascii="Times New Roman" w:hAnsi="Times New Roman" w:eastAsia="仿宋"/>
          <w:color w:val="auto"/>
          <w:sz w:val="24"/>
          <w:szCs w:val="24"/>
          <w:highlight w:val="none"/>
        </w:rPr>
        <w:t>本</w:t>
      </w:r>
      <w:r>
        <w:rPr>
          <w:rFonts w:hint="eastAsia" w:ascii="Times New Roman" w:hAnsi="Times New Roman" w:eastAsia="仿宋"/>
          <w:color w:val="auto"/>
          <w:sz w:val="24"/>
          <w:szCs w:val="24"/>
          <w:highlight w:val="none"/>
          <w:lang w:eastAsia="zh-CN"/>
        </w:rPr>
        <w:t>采购</w:t>
      </w:r>
      <w:r>
        <w:rPr>
          <w:rFonts w:hint="eastAsia" w:ascii="Times New Roman" w:hAnsi="Times New Roman" w:eastAsia="仿宋"/>
          <w:color w:val="auto"/>
          <w:sz w:val="24"/>
          <w:szCs w:val="24"/>
          <w:highlight w:val="none"/>
        </w:rPr>
        <w:t>项目</w:t>
      </w:r>
      <w:r>
        <w:rPr>
          <w:rFonts w:hint="eastAsia" w:ascii="Times New Roman" w:hAnsi="Times New Roman" w:eastAsia="仿宋"/>
          <w:color w:val="auto"/>
          <w:sz w:val="24"/>
          <w:szCs w:val="24"/>
          <w:highlight w:val="none"/>
          <w:lang w:eastAsia="zh-CN"/>
        </w:rPr>
        <w:t>响应包</w:t>
      </w:r>
      <w:r>
        <w:rPr>
          <w:rFonts w:hint="eastAsia" w:ascii="仿宋" w:hAnsi="仿宋" w:eastAsia="仿宋"/>
          <w:color w:val="auto"/>
          <w:sz w:val="24"/>
          <w:szCs w:val="24"/>
          <w:highlight w:val="none"/>
        </w:rPr>
        <w:t>不接受</w:t>
      </w:r>
      <w:r>
        <w:rPr>
          <w:rFonts w:hint="eastAsia" w:ascii="Times New Roman" w:hAnsi="Times New Roman" w:eastAsia="仿宋"/>
          <w:color w:val="auto"/>
          <w:sz w:val="24"/>
          <w:szCs w:val="24"/>
          <w:highlight w:val="none"/>
        </w:rPr>
        <w:t>联合体</w:t>
      </w:r>
      <w:r>
        <w:rPr>
          <w:rFonts w:hint="eastAsia" w:ascii="Times New Roman" w:hAnsi="Times New Roman" w:eastAsia="仿宋"/>
          <w:color w:val="auto"/>
          <w:sz w:val="24"/>
          <w:szCs w:val="24"/>
          <w:highlight w:val="none"/>
          <w:lang w:eastAsia="zh-CN"/>
        </w:rPr>
        <w:t>响应。</w:t>
      </w:r>
    </w:p>
    <w:p w14:paraId="4EF99805">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eastAsia="zh-CN"/>
        </w:rPr>
      </w:pPr>
      <w:r>
        <w:rPr>
          <w:rFonts w:ascii="Times New Roman" w:hAnsi="Times New Roman" w:eastAsia="仿宋"/>
          <w:color w:val="auto"/>
          <w:sz w:val="24"/>
          <w:szCs w:val="24"/>
          <w:highlight w:val="none"/>
        </w:rPr>
        <w:t>4</w:t>
      </w:r>
      <w:r>
        <w:rPr>
          <w:rFonts w:hint="eastAsia" w:ascii="Times New Roman" w:hAnsi="Times New Roman" w:eastAsia="仿宋"/>
          <w:color w:val="auto"/>
          <w:sz w:val="24"/>
          <w:szCs w:val="24"/>
          <w:highlight w:val="none"/>
        </w:rPr>
        <w:t>.</w:t>
      </w:r>
      <w:r>
        <w:rPr>
          <w:rFonts w:hint="eastAsia" w:ascii="Times New Roman" w:hAnsi="Times New Roman" w:eastAsia="仿宋"/>
          <w:color w:val="auto"/>
          <w:sz w:val="24"/>
          <w:szCs w:val="24"/>
          <w:highlight w:val="none"/>
          <w:lang w:val="en-US" w:eastAsia="zh-CN"/>
        </w:rPr>
        <w:t>4</w:t>
      </w:r>
      <w:r>
        <w:rPr>
          <w:rFonts w:hint="eastAsia" w:ascii="仿宋" w:hAnsi="仿宋" w:eastAsia="仿宋" w:cs="仿宋"/>
          <w:bCs/>
          <w:snapToGrid w:val="0"/>
          <w:color w:val="auto"/>
          <w:kern w:val="0"/>
          <w:sz w:val="24"/>
          <w:szCs w:val="24"/>
          <w:highlight w:val="none"/>
        </w:rPr>
        <w:t>单位负责人为同一人或者存在控股、管理关系的不同单位，不得参加同一</w:t>
      </w:r>
      <w:r>
        <w:rPr>
          <w:rFonts w:hint="eastAsia" w:ascii="仿宋" w:hAnsi="仿宋" w:eastAsia="仿宋" w:cs="仿宋"/>
          <w:bCs/>
          <w:snapToGrid w:val="0"/>
          <w:color w:val="auto"/>
          <w:kern w:val="0"/>
          <w:sz w:val="24"/>
          <w:szCs w:val="24"/>
          <w:highlight w:val="none"/>
          <w:lang w:eastAsia="zh-CN"/>
        </w:rPr>
        <w:t>响应包响应</w:t>
      </w:r>
      <w:r>
        <w:rPr>
          <w:rFonts w:hint="eastAsia" w:ascii="仿宋" w:hAnsi="仿宋" w:eastAsia="仿宋" w:cs="仿宋"/>
          <w:bCs/>
          <w:snapToGrid w:val="0"/>
          <w:color w:val="auto"/>
          <w:kern w:val="0"/>
          <w:sz w:val="24"/>
          <w:szCs w:val="24"/>
          <w:highlight w:val="none"/>
        </w:rPr>
        <w:t>或者未划分</w:t>
      </w:r>
      <w:r>
        <w:rPr>
          <w:rFonts w:hint="eastAsia" w:ascii="仿宋" w:hAnsi="仿宋" w:eastAsia="仿宋" w:cs="仿宋"/>
          <w:bCs/>
          <w:snapToGrid w:val="0"/>
          <w:color w:val="auto"/>
          <w:kern w:val="0"/>
          <w:sz w:val="24"/>
          <w:szCs w:val="24"/>
          <w:highlight w:val="none"/>
          <w:lang w:eastAsia="zh-CN"/>
        </w:rPr>
        <w:t>响应包</w:t>
      </w:r>
      <w:r>
        <w:rPr>
          <w:rFonts w:hint="eastAsia" w:ascii="仿宋" w:hAnsi="仿宋" w:eastAsia="仿宋" w:cs="仿宋"/>
          <w:bCs/>
          <w:snapToGrid w:val="0"/>
          <w:color w:val="auto"/>
          <w:kern w:val="0"/>
          <w:sz w:val="24"/>
          <w:szCs w:val="24"/>
          <w:highlight w:val="none"/>
        </w:rPr>
        <w:t>的同一</w:t>
      </w:r>
      <w:r>
        <w:rPr>
          <w:rFonts w:hint="eastAsia" w:ascii="仿宋" w:hAnsi="仿宋" w:eastAsia="仿宋" w:cs="仿宋"/>
          <w:bCs/>
          <w:snapToGrid w:val="0"/>
          <w:color w:val="auto"/>
          <w:kern w:val="0"/>
          <w:sz w:val="24"/>
          <w:szCs w:val="24"/>
          <w:highlight w:val="none"/>
          <w:lang w:eastAsia="zh-CN"/>
        </w:rPr>
        <w:t>采购</w:t>
      </w:r>
      <w:r>
        <w:rPr>
          <w:rFonts w:hint="eastAsia" w:ascii="仿宋" w:hAnsi="仿宋" w:eastAsia="仿宋" w:cs="仿宋"/>
          <w:bCs/>
          <w:snapToGrid w:val="0"/>
          <w:color w:val="auto"/>
          <w:kern w:val="0"/>
          <w:sz w:val="24"/>
          <w:szCs w:val="24"/>
          <w:highlight w:val="none"/>
        </w:rPr>
        <w:t>项目</w:t>
      </w:r>
      <w:r>
        <w:rPr>
          <w:rFonts w:hint="eastAsia" w:ascii="仿宋" w:hAnsi="仿宋" w:eastAsia="仿宋" w:cs="仿宋"/>
          <w:bCs/>
          <w:snapToGrid w:val="0"/>
          <w:color w:val="auto"/>
          <w:kern w:val="0"/>
          <w:sz w:val="24"/>
          <w:szCs w:val="24"/>
          <w:highlight w:val="none"/>
          <w:lang w:eastAsia="zh-CN"/>
        </w:rPr>
        <w:t>响应。</w:t>
      </w:r>
    </w:p>
    <w:p w14:paraId="75BDCF9E">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Cs/>
          <w:snapToGrid w:val="0"/>
          <w:color w:val="auto"/>
          <w:kern w:val="0"/>
          <w:sz w:val="24"/>
          <w:szCs w:val="24"/>
          <w:highlight w:val="none"/>
        </w:rPr>
      </w:pPr>
      <w:r>
        <w:rPr>
          <w:rFonts w:hint="default" w:ascii="Times New Roman" w:hAnsi="Times New Roman" w:eastAsia="仿宋" w:cs="Times New Roman"/>
          <w:bCs w:val="0"/>
          <w:snapToGrid/>
          <w:color w:val="auto"/>
          <w:kern w:val="2"/>
          <w:sz w:val="24"/>
          <w:szCs w:val="24"/>
          <w:highlight w:val="none"/>
          <w:lang w:val="en-US" w:eastAsia="zh-CN"/>
        </w:rPr>
        <w:t>4.</w:t>
      </w:r>
      <w:r>
        <w:rPr>
          <w:rFonts w:hint="eastAsia" w:ascii="Times New Roman" w:hAnsi="Times New Roman" w:eastAsia="仿宋" w:cs="Times New Roman"/>
          <w:bCs w:val="0"/>
          <w:snapToGrid/>
          <w:color w:val="auto"/>
          <w:kern w:val="2"/>
          <w:sz w:val="24"/>
          <w:szCs w:val="24"/>
          <w:highlight w:val="none"/>
          <w:lang w:val="en-US" w:eastAsia="zh-CN"/>
        </w:rPr>
        <w:t>5</w:t>
      </w:r>
      <w:r>
        <w:rPr>
          <w:rFonts w:hint="eastAsia" w:ascii="仿宋" w:hAnsi="仿宋" w:eastAsia="仿宋" w:cs="仿宋"/>
          <w:bCs/>
          <w:snapToGrid w:val="0"/>
          <w:color w:val="auto"/>
          <w:kern w:val="0"/>
          <w:sz w:val="24"/>
          <w:szCs w:val="24"/>
          <w:highlight w:val="none"/>
        </w:rPr>
        <w:t>至递交</w:t>
      </w:r>
      <w:r>
        <w:rPr>
          <w:rFonts w:hint="eastAsia" w:ascii="仿宋" w:hAnsi="仿宋" w:eastAsia="仿宋" w:cs="仿宋"/>
          <w:bCs/>
          <w:snapToGrid w:val="0"/>
          <w:color w:val="auto"/>
          <w:kern w:val="0"/>
          <w:sz w:val="24"/>
          <w:szCs w:val="24"/>
          <w:highlight w:val="none"/>
          <w:lang w:val="en-US" w:eastAsia="zh-CN"/>
        </w:rPr>
        <w:t>响应</w:t>
      </w:r>
      <w:r>
        <w:rPr>
          <w:rFonts w:hint="eastAsia" w:ascii="仿宋" w:hAnsi="仿宋" w:eastAsia="仿宋" w:cs="仿宋"/>
          <w:bCs/>
          <w:snapToGrid w:val="0"/>
          <w:color w:val="auto"/>
          <w:kern w:val="0"/>
          <w:sz w:val="24"/>
          <w:szCs w:val="24"/>
          <w:highlight w:val="none"/>
        </w:rPr>
        <w:t>文件截止时间止，</w:t>
      </w:r>
      <w:r>
        <w:rPr>
          <w:rFonts w:hint="eastAsia" w:ascii="仿宋" w:hAnsi="仿宋" w:eastAsia="仿宋" w:cs="仿宋"/>
          <w:bCs/>
          <w:snapToGrid w:val="0"/>
          <w:color w:val="auto"/>
          <w:kern w:val="0"/>
          <w:sz w:val="24"/>
          <w:szCs w:val="24"/>
          <w:highlight w:val="none"/>
          <w:lang w:val="en-US" w:eastAsia="zh-CN"/>
        </w:rPr>
        <w:t>供应商</w:t>
      </w:r>
      <w:r>
        <w:rPr>
          <w:rFonts w:hint="eastAsia" w:ascii="仿宋" w:hAnsi="仿宋" w:eastAsia="仿宋" w:cs="仿宋"/>
          <w:bCs/>
          <w:snapToGrid w:val="0"/>
          <w:color w:val="auto"/>
          <w:kern w:val="0"/>
          <w:sz w:val="24"/>
          <w:szCs w:val="24"/>
          <w:highlight w:val="none"/>
        </w:rPr>
        <w:t>不得存在以下几种情形之一：</w:t>
      </w:r>
    </w:p>
    <w:p w14:paraId="11B25662">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Cs/>
          <w:snapToGrid w:val="0"/>
          <w:color w:val="auto"/>
          <w:kern w:val="0"/>
          <w:sz w:val="24"/>
          <w:szCs w:val="24"/>
          <w:highlight w:val="none"/>
        </w:rPr>
      </w:pPr>
      <w:r>
        <w:rPr>
          <w:rFonts w:hint="eastAsia" w:ascii="仿宋" w:hAnsi="仿宋" w:eastAsia="仿宋" w:cs="仿宋"/>
          <w:bCs/>
          <w:snapToGrid w:val="0"/>
          <w:color w:val="auto"/>
          <w:kern w:val="0"/>
          <w:sz w:val="24"/>
          <w:szCs w:val="24"/>
          <w:highlight w:val="none"/>
        </w:rPr>
        <w:t>①在国家企业信用信息公示系统（http://www.gsxt.gov.cn/）中被列入经营异常名录、严重违法失信企业名单；</w:t>
      </w:r>
    </w:p>
    <w:p w14:paraId="6DB060DD">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Cs/>
          <w:snapToGrid w:val="0"/>
          <w:color w:val="auto"/>
          <w:kern w:val="0"/>
          <w:sz w:val="24"/>
          <w:szCs w:val="24"/>
          <w:highlight w:val="none"/>
        </w:rPr>
      </w:pPr>
      <w:r>
        <w:rPr>
          <w:rFonts w:hint="eastAsia" w:ascii="仿宋" w:hAnsi="仿宋" w:eastAsia="仿宋" w:cs="仿宋"/>
          <w:bCs/>
          <w:snapToGrid w:val="0"/>
          <w:color w:val="auto"/>
          <w:kern w:val="0"/>
          <w:sz w:val="24"/>
          <w:szCs w:val="24"/>
          <w:highlight w:val="none"/>
        </w:rPr>
        <w:t>②在“信用中国”网站（http://www.creditchina.gov.cn/）中被列入</w:t>
      </w:r>
      <w:r>
        <w:rPr>
          <w:rFonts w:hint="eastAsia" w:ascii="仿宋" w:hAnsi="仿宋" w:eastAsia="仿宋" w:cs="仿宋"/>
          <w:bCs/>
          <w:snapToGrid w:val="0"/>
          <w:color w:val="auto"/>
          <w:kern w:val="0"/>
          <w:sz w:val="24"/>
          <w:szCs w:val="24"/>
          <w:highlight w:val="none"/>
          <w:lang w:eastAsia="zh-CN"/>
        </w:rPr>
        <w:t>重大税收违法失信主体名单</w:t>
      </w:r>
      <w:r>
        <w:rPr>
          <w:rFonts w:hint="eastAsia" w:ascii="仿宋" w:hAnsi="仿宋" w:eastAsia="仿宋" w:cs="仿宋"/>
          <w:bCs/>
          <w:snapToGrid w:val="0"/>
          <w:color w:val="auto"/>
          <w:kern w:val="0"/>
          <w:sz w:val="24"/>
          <w:szCs w:val="24"/>
          <w:highlight w:val="none"/>
        </w:rPr>
        <w:t>；</w:t>
      </w:r>
    </w:p>
    <w:p w14:paraId="35680BE0">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Cs/>
          <w:snapToGrid w:val="0"/>
          <w:color w:val="auto"/>
          <w:kern w:val="0"/>
          <w:sz w:val="24"/>
          <w:szCs w:val="24"/>
          <w:highlight w:val="none"/>
        </w:rPr>
      </w:pPr>
      <w:r>
        <w:rPr>
          <w:rFonts w:hint="eastAsia" w:ascii="仿宋" w:hAnsi="仿宋" w:eastAsia="仿宋" w:cs="仿宋"/>
          <w:bCs/>
          <w:snapToGrid w:val="0"/>
          <w:color w:val="auto"/>
          <w:kern w:val="0"/>
          <w:sz w:val="24"/>
          <w:szCs w:val="24"/>
          <w:highlight w:val="none"/>
        </w:rPr>
        <w:t>③</w:t>
      </w:r>
      <w:r>
        <w:rPr>
          <w:rFonts w:hint="eastAsia" w:ascii="仿宋" w:hAnsi="仿宋" w:eastAsia="仿宋" w:cs="仿宋"/>
          <w:bCs/>
          <w:snapToGrid w:val="0"/>
          <w:color w:val="auto"/>
          <w:kern w:val="0"/>
          <w:sz w:val="24"/>
          <w:szCs w:val="24"/>
          <w:highlight w:val="none"/>
          <w:lang w:eastAsia="zh-CN"/>
        </w:rPr>
        <w:t>在</w:t>
      </w:r>
      <w:r>
        <w:rPr>
          <w:rFonts w:hint="eastAsia" w:ascii="仿宋" w:hAnsi="仿宋" w:eastAsia="仿宋" w:cs="仿宋"/>
          <w:bCs/>
          <w:snapToGrid w:val="0"/>
          <w:color w:val="auto"/>
          <w:kern w:val="0"/>
          <w:sz w:val="24"/>
          <w:szCs w:val="24"/>
          <w:highlight w:val="none"/>
        </w:rPr>
        <w:t>“信用中国”网站（http://www.creditchina.gov.cn/）</w:t>
      </w:r>
      <w:r>
        <w:rPr>
          <w:rFonts w:hint="eastAsia" w:ascii="仿宋" w:hAnsi="仿宋" w:eastAsia="仿宋" w:cs="仿宋"/>
          <w:bCs/>
          <w:snapToGrid w:val="0"/>
          <w:color w:val="auto"/>
          <w:kern w:val="0"/>
          <w:sz w:val="24"/>
          <w:szCs w:val="24"/>
          <w:highlight w:val="none"/>
          <w:lang w:val="en-US" w:eastAsia="zh-CN"/>
        </w:rPr>
        <w:t>中被列入失信被执行人名单</w:t>
      </w:r>
      <w:r>
        <w:rPr>
          <w:rFonts w:hint="eastAsia" w:ascii="仿宋" w:hAnsi="仿宋" w:eastAsia="仿宋" w:cs="仿宋"/>
          <w:bCs/>
          <w:snapToGrid w:val="0"/>
          <w:color w:val="auto"/>
          <w:kern w:val="0"/>
          <w:sz w:val="24"/>
          <w:szCs w:val="24"/>
          <w:highlight w:val="none"/>
        </w:rPr>
        <w:t>。</w:t>
      </w:r>
    </w:p>
    <w:p w14:paraId="49A0245B">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eastAsia" w:ascii="仿宋" w:hAnsi="仿宋" w:eastAsia="仿宋" w:cs="仿宋"/>
          <w:b w:val="0"/>
          <w:bCs/>
          <w:snapToGrid w:val="0"/>
          <w:color w:val="auto"/>
          <w:kern w:val="0"/>
          <w:sz w:val="24"/>
          <w:szCs w:val="24"/>
          <w:highlight w:val="none"/>
        </w:rPr>
      </w:pPr>
      <w:r>
        <w:rPr>
          <w:rFonts w:hint="eastAsia" w:ascii="仿宋" w:hAnsi="仿宋" w:eastAsia="仿宋" w:cs="仿宋"/>
          <w:b w:val="0"/>
          <w:bCs/>
          <w:i w:val="0"/>
          <w:iCs w:val="0"/>
          <w:snapToGrid w:val="0"/>
          <w:color w:val="auto"/>
          <w:kern w:val="0"/>
          <w:sz w:val="24"/>
          <w:szCs w:val="24"/>
          <w:highlight w:val="none"/>
        </w:rPr>
        <w:t>注：</w:t>
      </w:r>
      <w:r>
        <w:rPr>
          <w:rFonts w:hint="eastAsia" w:ascii="仿宋" w:hAnsi="仿宋" w:eastAsia="仿宋" w:cs="仿宋"/>
          <w:b w:val="0"/>
          <w:bCs/>
          <w:snapToGrid w:val="0"/>
          <w:color w:val="auto"/>
          <w:kern w:val="0"/>
          <w:sz w:val="24"/>
          <w:szCs w:val="24"/>
          <w:highlight w:val="none"/>
          <w:lang w:val="en-US" w:eastAsia="zh-CN"/>
        </w:rPr>
        <w:t>以上以评审小组评审现场查询为准，如遇网站系统故障等其他原因导致无法查询，以供应商承诺函为准</w:t>
      </w:r>
      <w:r>
        <w:rPr>
          <w:rFonts w:hint="eastAsia" w:ascii="仿宋" w:hAnsi="仿宋" w:eastAsia="仿宋" w:cs="仿宋"/>
          <w:b w:val="0"/>
          <w:bCs/>
          <w:snapToGrid w:val="0"/>
          <w:color w:val="auto"/>
          <w:kern w:val="0"/>
          <w:sz w:val="24"/>
          <w:szCs w:val="24"/>
          <w:highlight w:val="none"/>
          <w:lang w:eastAsia="zh-CN"/>
        </w:rPr>
        <w:t>；</w:t>
      </w:r>
      <w:r>
        <w:rPr>
          <w:rFonts w:hint="eastAsia" w:ascii="仿宋" w:hAnsi="仿宋" w:eastAsia="仿宋" w:cs="仿宋"/>
          <w:b w:val="0"/>
          <w:bCs/>
          <w:i w:val="0"/>
          <w:iCs w:val="0"/>
          <w:snapToGrid w:val="0"/>
          <w:color w:val="auto"/>
          <w:kern w:val="0"/>
          <w:sz w:val="24"/>
          <w:szCs w:val="24"/>
          <w:highlight w:val="none"/>
        </w:rPr>
        <w:t>如</w:t>
      </w:r>
      <w:r>
        <w:rPr>
          <w:rFonts w:hint="eastAsia" w:ascii="仿宋" w:hAnsi="仿宋" w:eastAsia="仿宋" w:cs="仿宋"/>
          <w:b w:val="0"/>
          <w:bCs/>
          <w:i w:val="0"/>
          <w:iCs w:val="0"/>
          <w:snapToGrid w:val="0"/>
          <w:color w:val="auto"/>
          <w:kern w:val="0"/>
          <w:sz w:val="24"/>
          <w:szCs w:val="24"/>
          <w:highlight w:val="none"/>
          <w:lang w:eastAsia="zh-CN"/>
        </w:rPr>
        <w:t>供应商</w:t>
      </w:r>
      <w:r>
        <w:rPr>
          <w:rFonts w:hint="eastAsia" w:ascii="仿宋" w:hAnsi="仿宋" w:eastAsia="仿宋" w:cs="仿宋"/>
          <w:b w:val="0"/>
          <w:bCs/>
          <w:i w:val="0"/>
          <w:iCs w:val="0"/>
          <w:snapToGrid w:val="0"/>
          <w:color w:val="auto"/>
          <w:kern w:val="0"/>
          <w:sz w:val="24"/>
          <w:szCs w:val="24"/>
          <w:highlight w:val="none"/>
        </w:rPr>
        <w:t>承诺与实际不符，</w:t>
      </w:r>
      <w:r>
        <w:rPr>
          <w:rFonts w:hint="eastAsia" w:ascii="仿宋" w:hAnsi="仿宋" w:eastAsia="仿宋" w:cs="仿宋"/>
          <w:b w:val="0"/>
          <w:bCs/>
          <w:i w:val="0"/>
          <w:iCs w:val="0"/>
          <w:snapToGrid w:val="0"/>
          <w:color w:val="auto"/>
          <w:kern w:val="0"/>
          <w:sz w:val="24"/>
          <w:szCs w:val="24"/>
          <w:highlight w:val="none"/>
          <w:lang w:eastAsia="zh-CN"/>
        </w:rPr>
        <w:t>采购人</w:t>
      </w:r>
      <w:r>
        <w:rPr>
          <w:rFonts w:hint="eastAsia" w:ascii="仿宋" w:hAnsi="仿宋" w:eastAsia="仿宋" w:cs="仿宋"/>
          <w:b w:val="0"/>
          <w:bCs/>
          <w:i w:val="0"/>
          <w:iCs w:val="0"/>
          <w:snapToGrid w:val="0"/>
          <w:color w:val="auto"/>
          <w:kern w:val="0"/>
          <w:sz w:val="24"/>
          <w:szCs w:val="24"/>
          <w:highlight w:val="none"/>
        </w:rPr>
        <w:t>有权取消其</w:t>
      </w:r>
      <w:r>
        <w:rPr>
          <w:rFonts w:hint="eastAsia" w:ascii="仿宋" w:hAnsi="仿宋" w:eastAsia="仿宋" w:cs="仿宋"/>
          <w:b w:val="0"/>
          <w:bCs/>
          <w:i w:val="0"/>
          <w:iCs w:val="0"/>
          <w:snapToGrid w:val="0"/>
          <w:color w:val="auto"/>
          <w:kern w:val="0"/>
          <w:sz w:val="24"/>
          <w:szCs w:val="24"/>
          <w:highlight w:val="none"/>
          <w:lang w:eastAsia="zh-CN"/>
        </w:rPr>
        <w:t>成交</w:t>
      </w:r>
      <w:r>
        <w:rPr>
          <w:rFonts w:hint="eastAsia" w:ascii="仿宋" w:hAnsi="仿宋" w:eastAsia="仿宋" w:cs="仿宋"/>
          <w:b w:val="0"/>
          <w:bCs/>
          <w:i w:val="0"/>
          <w:iCs w:val="0"/>
          <w:snapToGrid w:val="0"/>
          <w:color w:val="auto"/>
          <w:kern w:val="0"/>
          <w:sz w:val="24"/>
          <w:szCs w:val="24"/>
          <w:highlight w:val="none"/>
        </w:rPr>
        <w:t>（或</w:t>
      </w:r>
      <w:r>
        <w:rPr>
          <w:rFonts w:hint="eastAsia" w:ascii="仿宋" w:hAnsi="仿宋" w:eastAsia="仿宋" w:cs="仿宋"/>
          <w:b w:val="0"/>
          <w:bCs/>
          <w:i w:val="0"/>
          <w:iCs w:val="0"/>
          <w:snapToGrid w:val="0"/>
          <w:color w:val="auto"/>
          <w:kern w:val="0"/>
          <w:sz w:val="24"/>
          <w:szCs w:val="24"/>
          <w:highlight w:val="none"/>
          <w:lang w:eastAsia="zh-CN"/>
        </w:rPr>
        <w:t>候选成交</w:t>
      </w:r>
      <w:r>
        <w:rPr>
          <w:rFonts w:hint="eastAsia" w:ascii="仿宋" w:hAnsi="仿宋" w:eastAsia="仿宋" w:cs="仿宋"/>
          <w:b w:val="0"/>
          <w:bCs/>
          <w:i w:val="0"/>
          <w:iCs w:val="0"/>
          <w:snapToGrid w:val="0"/>
          <w:color w:val="auto"/>
          <w:kern w:val="0"/>
          <w:sz w:val="24"/>
          <w:szCs w:val="24"/>
          <w:highlight w:val="none"/>
        </w:rPr>
        <w:t>）资格，并将报监管部门处理。</w:t>
      </w:r>
    </w:p>
    <w:p w14:paraId="1ECDDC7F">
      <w:pPr>
        <w:keepNext w:val="0"/>
        <w:keepLines w:val="0"/>
        <w:pageBreakBefore w:val="0"/>
        <w:widowControl w:val="0"/>
        <w:kinsoku/>
        <w:wordWrap/>
        <w:overflowPunct/>
        <w:topLinePunct w:val="0"/>
        <w:autoSpaceDE/>
        <w:autoSpaceDN/>
        <w:bidi w:val="0"/>
        <w:adjustRightInd/>
        <w:snapToGrid w:val="0"/>
        <w:spacing w:line="360" w:lineRule="auto"/>
        <w:ind w:firstLine="437"/>
        <w:textAlignment w:val="auto"/>
        <w:rPr>
          <w:rFonts w:hint="default" w:ascii="仿宋" w:hAnsi="仿宋" w:eastAsia="仿宋" w:cs="仿宋"/>
          <w:b/>
          <w:bCs/>
          <w:snapToGrid w:val="0"/>
          <w:color w:val="auto"/>
          <w:kern w:val="0"/>
          <w:sz w:val="24"/>
          <w:szCs w:val="24"/>
          <w:highlight w:val="none"/>
          <w:lang w:val="en-US" w:eastAsia="zh-CN"/>
        </w:rPr>
      </w:pPr>
      <w:r>
        <w:rPr>
          <w:rFonts w:ascii="Times New Roman" w:hAnsi="Times New Roman" w:eastAsia="仿宋"/>
          <w:b/>
          <w:bCs/>
          <w:color w:val="auto"/>
          <w:sz w:val="24"/>
          <w:szCs w:val="24"/>
          <w:highlight w:val="none"/>
        </w:rPr>
        <w:t>4</w:t>
      </w:r>
      <w:r>
        <w:rPr>
          <w:rFonts w:hint="eastAsia" w:ascii="Times New Roman" w:hAnsi="Times New Roman" w:eastAsia="仿宋"/>
          <w:b/>
          <w:bCs/>
          <w:color w:val="auto"/>
          <w:sz w:val="24"/>
          <w:szCs w:val="24"/>
          <w:highlight w:val="none"/>
        </w:rPr>
        <w:t>.</w:t>
      </w:r>
      <w:r>
        <w:rPr>
          <w:rFonts w:hint="eastAsia" w:ascii="Times New Roman" w:hAnsi="Times New Roman" w:eastAsia="仿宋"/>
          <w:b/>
          <w:bCs/>
          <w:color w:val="auto"/>
          <w:sz w:val="24"/>
          <w:szCs w:val="24"/>
          <w:highlight w:val="none"/>
          <w:lang w:val="en-US" w:eastAsia="zh-CN"/>
        </w:rPr>
        <w:t>6</w:t>
      </w:r>
      <w:r>
        <w:rPr>
          <w:rFonts w:hint="eastAsia" w:ascii="Times New Roman" w:hAnsi="Times New Roman" w:eastAsia="仿宋"/>
          <w:b/>
          <w:bCs/>
          <w:color w:val="auto"/>
          <w:sz w:val="24"/>
          <w:szCs w:val="24"/>
          <w:highlight w:val="none"/>
        </w:rPr>
        <w:t>其他要求：供应商须为一般纳税人，并承诺开具符合采购人要求的增值税专用发票（须提供一般纳税人资格证明及承诺）</w:t>
      </w:r>
      <w:r>
        <w:rPr>
          <w:rFonts w:hint="eastAsia" w:ascii="仿宋" w:hAnsi="仿宋" w:eastAsia="仿宋" w:cs="仿宋"/>
          <w:b/>
          <w:bCs/>
          <w:snapToGrid w:val="0"/>
          <w:color w:val="auto"/>
          <w:kern w:val="0"/>
          <w:sz w:val="24"/>
          <w:szCs w:val="24"/>
          <w:highlight w:val="none"/>
          <w:lang w:val="en-US" w:eastAsia="zh-CN"/>
        </w:rPr>
        <w:t>。</w:t>
      </w:r>
    </w:p>
    <w:p w14:paraId="06E15D48">
      <w:pPr>
        <w:pStyle w:val="5"/>
        <w:pageBreakBefore w:val="0"/>
        <w:widowControl w:val="0"/>
        <w:kinsoku/>
        <w:wordWrap/>
        <w:overflowPunct/>
        <w:topLinePunct w:val="0"/>
        <w:autoSpaceDE/>
        <w:autoSpaceDN/>
        <w:bidi w:val="0"/>
        <w:adjustRightInd/>
        <w:snapToGrid w:val="0"/>
        <w:spacing w:before="0" w:after="0" w:line="360" w:lineRule="auto"/>
        <w:textAlignment w:val="auto"/>
        <w:rPr>
          <w:rFonts w:ascii="Times New Roman" w:hAnsi="Times New Roman" w:eastAsia="仿宋"/>
          <w:color w:val="auto"/>
          <w:highlight w:val="none"/>
        </w:rPr>
      </w:pPr>
      <w:bookmarkStart w:id="1" w:name="_Toc9057"/>
      <w:bookmarkStart w:id="2" w:name="_Toc23947"/>
      <w:bookmarkStart w:id="3" w:name="_Toc30329"/>
      <w:bookmarkStart w:id="4" w:name="_Toc23034"/>
      <w:bookmarkStart w:id="5" w:name="_Toc22319"/>
      <w:bookmarkStart w:id="6" w:name="_Toc151393375"/>
      <w:bookmarkStart w:id="7" w:name="_Toc28395"/>
      <w:r>
        <w:rPr>
          <w:rFonts w:ascii="Times New Roman" w:hAnsi="Times New Roman" w:eastAsia="仿宋"/>
          <w:color w:val="auto"/>
          <w:highlight w:val="none"/>
        </w:rPr>
        <w:t xml:space="preserve">5. </w:t>
      </w:r>
      <w:r>
        <w:rPr>
          <w:rFonts w:hint="eastAsia" w:ascii="Times New Roman" w:hAnsi="Times New Roman" w:eastAsia="仿宋"/>
          <w:color w:val="auto"/>
          <w:highlight w:val="none"/>
          <w:lang w:eastAsia="zh-CN"/>
        </w:rPr>
        <w:t>采购</w:t>
      </w:r>
      <w:r>
        <w:rPr>
          <w:rFonts w:hint="eastAsia" w:ascii="Times New Roman" w:hAnsi="Times New Roman" w:eastAsia="仿宋"/>
          <w:color w:val="auto"/>
          <w:highlight w:val="none"/>
        </w:rPr>
        <w:t>文件的获取</w:t>
      </w:r>
      <w:bookmarkEnd w:id="1"/>
      <w:bookmarkEnd w:id="2"/>
      <w:bookmarkEnd w:id="3"/>
      <w:bookmarkEnd w:id="4"/>
      <w:bookmarkEnd w:id="5"/>
      <w:bookmarkEnd w:id="6"/>
      <w:bookmarkEnd w:id="7"/>
    </w:p>
    <w:p w14:paraId="6A6F6678">
      <w:pPr>
        <w:pageBreakBefore w:val="0"/>
        <w:widowControl w:val="0"/>
        <w:tabs>
          <w:tab w:val="left" w:pos="360"/>
        </w:tabs>
        <w:kinsoku/>
        <w:wordWrap/>
        <w:overflowPunct/>
        <w:topLinePunct w:val="0"/>
        <w:autoSpaceDE/>
        <w:autoSpaceDN/>
        <w:bidi w:val="0"/>
        <w:adjustRightInd/>
        <w:snapToGrid w:val="0"/>
        <w:spacing w:line="360" w:lineRule="auto"/>
        <w:ind w:firstLine="480" w:firstLineChars="200"/>
        <w:jc w:val="left"/>
        <w:textAlignment w:val="auto"/>
        <w:rPr>
          <w:rFonts w:ascii="Times New Roman" w:hAnsi="Times New Roman" w:eastAsia="仿宋"/>
          <w:color w:val="auto"/>
          <w:sz w:val="24"/>
          <w:szCs w:val="24"/>
          <w:highlight w:val="none"/>
        </w:rPr>
      </w:pPr>
      <w:r>
        <w:rPr>
          <w:rFonts w:ascii="Times New Roman" w:hAnsi="Times New Roman" w:eastAsia="仿宋"/>
          <w:color w:val="auto"/>
          <w:sz w:val="24"/>
          <w:szCs w:val="24"/>
          <w:highlight w:val="none"/>
        </w:rPr>
        <w:t>5.1</w:t>
      </w:r>
      <w:r>
        <w:rPr>
          <w:rFonts w:hint="eastAsia" w:ascii="Times New Roman" w:hAnsi="Times New Roman" w:eastAsia="仿宋"/>
          <w:color w:val="auto"/>
          <w:sz w:val="24"/>
          <w:szCs w:val="24"/>
          <w:highlight w:val="none"/>
        </w:rPr>
        <w:t>获取时间：</w:t>
      </w:r>
      <w:r>
        <w:rPr>
          <w:rFonts w:hint="eastAsia" w:ascii="Times New Roman" w:hAnsi="Times New Roman" w:eastAsia="仿宋"/>
          <w:color w:val="auto"/>
          <w:sz w:val="24"/>
          <w:szCs w:val="24"/>
          <w:highlight w:val="none"/>
          <w:lang w:val="en-US" w:eastAsia="zh-CN"/>
        </w:rPr>
        <w:t>2026</w:t>
      </w:r>
      <w:r>
        <w:rPr>
          <w:rFonts w:hint="eastAsia" w:ascii="Times New Roman" w:hAnsi="Times New Roman" w:eastAsia="仿宋"/>
          <w:color w:val="auto"/>
          <w:sz w:val="24"/>
          <w:szCs w:val="24"/>
          <w:highlight w:val="none"/>
        </w:rPr>
        <w:t>年</w:t>
      </w:r>
      <w:r>
        <w:rPr>
          <w:rFonts w:hint="eastAsia" w:ascii="Times New Roman" w:hAnsi="Times New Roman" w:eastAsia="仿宋"/>
          <w:color w:val="auto"/>
          <w:sz w:val="24"/>
          <w:szCs w:val="24"/>
          <w:highlight w:val="none"/>
          <w:lang w:val="en-US" w:eastAsia="zh-CN"/>
        </w:rPr>
        <w:t>8</w:t>
      </w:r>
      <w:r>
        <w:rPr>
          <w:rFonts w:hint="eastAsia" w:eastAsia="仿宋"/>
          <w:color w:val="auto"/>
          <w:sz w:val="24"/>
          <w:szCs w:val="24"/>
          <w:highlight w:val="none"/>
          <w:lang w:val="en-US" w:eastAsia="zh-CN"/>
        </w:rPr>
        <w:t>月31</w:t>
      </w:r>
      <w:r>
        <w:rPr>
          <w:rFonts w:hint="eastAsia" w:ascii="Times New Roman" w:hAnsi="Times New Roman" w:eastAsia="仿宋"/>
          <w:color w:val="auto"/>
          <w:sz w:val="24"/>
          <w:szCs w:val="24"/>
          <w:highlight w:val="none"/>
        </w:rPr>
        <w:t>日至</w:t>
      </w:r>
      <w:r>
        <w:rPr>
          <w:rFonts w:hint="eastAsia" w:ascii="Times New Roman" w:hAnsi="Times New Roman" w:eastAsia="仿宋"/>
          <w:color w:val="auto"/>
          <w:sz w:val="24"/>
          <w:szCs w:val="24"/>
          <w:highlight w:val="none"/>
          <w:lang w:val="en-US" w:eastAsia="zh-CN"/>
        </w:rPr>
        <w:t>2026</w:t>
      </w:r>
      <w:r>
        <w:rPr>
          <w:rFonts w:hint="eastAsia" w:ascii="Times New Roman" w:hAnsi="Times New Roman" w:eastAsia="仿宋"/>
          <w:color w:val="auto"/>
          <w:sz w:val="24"/>
          <w:szCs w:val="24"/>
          <w:highlight w:val="none"/>
        </w:rPr>
        <w:t>年</w:t>
      </w:r>
      <w:r>
        <w:rPr>
          <w:rFonts w:hint="eastAsia" w:eastAsia="仿宋"/>
          <w:color w:val="auto"/>
          <w:sz w:val="24"/>
          <w:szCs w:val="24"/>
          <w:highlight w:val="none"/>
          <w:lang w:val="en-US" w:eastAsia="zh-CN"/>
        </w:rPr>
        <w:t>9</w:t>
      </w:r>
      <w:r>
        <w:rPr>
          <w:rFonts w:hint="eastAsia" w:ascii="Times New Roman" w:hAnsi="Times New Roman" w:eastAsia="仿宋"/>
          <w:color w:val="auto"/>
          <w:sz w:val="24"/>
          <w:szCs w:val="24"/>
          <w:highlight w:val="none"/>
        </w:rPr>
        <w:t>月</w:t>
      </w:r>
      <w:r>
        <w:rPr>
          <w:rFonts w:hint="eastAsia" w:eastAsia="仿宋"/>
          <w:color w:val="auto"/>
          <w:sz w:val="24"/>
          <w:szCs w:val="24"/>
          <w:highlight w:val="none"/>
          <w:lang w:val="en-US" w:eastAsia="zh-CN"/>
        </w:rPr>
        <w:t>8</w:t>
      </w:r>
      <w:r>
        <w:rPr>
          <w:rFonts w:hint="eastAsia" w:ascii="Times New Roman" w:hAnsi="Times New Roman" w:eastAsia="仿宋"/>
          <w:color w:val="auto"/>
          <w:sz w:val="24"/>
          <w:szCs w:val="24"/>
          <w:highlight w:val="none"/>
        </w:rPr>
        <w:t>日</w:t>
      </w:r>
      <w:r>
        <w:rPr>
          <w:rFonts w:hint="eastAsia" w:ascii="Times New Roman" w:hAnsi="Times New Roman" w:eastAsia="仿宋"/>
          <w:color w:val="auto"/>
          <w:sz w:val="24"/>
          <w:szCs w:val="24"/>
          <w:highlight w:val="none"/>
          <w:lang w:val="en-US" w:eastAsia="zh-CN"/>
        </w:rPr>
        <w:t>17</w:t>
      </w:r>
      <w:r>
        <w:rPr>
          <w:rFonts w:hint="eastAsia" w:ascii="Times New Roman" w:hAnsi="Times New Roman" w:eastAsia="仿宋"/>
          <w:color w:val="auto"/>
          <w:sz w:val="24"/>
          <w:szCs w:val="24"/>
          <w:highlight w:val="none"/>
        </w:rPr>
        <w:t>时</w:t>
      </w:r>
      <w:r>
        <w:rPr>
          <w:rFonts w:hint="eastAsia" w:ascii="Times New Roman" w:hAnsi="Times New Roman" w:eastAsia="仿宋"/>
          <w:color w:val="auto"/>
          <w:sz w:val="24"/>
          <w:szCs w:val="24"/>
          <w:highlight w:val="none"/>
          <w:lang w:val="en-US" w:eastAsia="zh-CN"/>
        </w:rPr>
        <w:t>00</w:t>
      </w:r>
      <w:r>
        <w:rPr>
          <w:rFonts w:hint="eastAsia" w:ascii="Times New Roman" w:hAnsi="Times New Roman" w:eastAsia="仿宋"/>
          <w:color w:val="auto"/>
          <w:sz w:val="24"/>
          <w:szCs w:val="24"/>
          <w:highlight w:val="none"/>
        </w:rPr>
        <w:t>分。</w:t>
      </w:r>
    </w:p>
    <w:p w14:paraId="7CAFDB77">
      <w:pPr>
        <w:pageBreakBefore w:val="0"/>
        <w:widowControl w:val="0"/>
        <w:tabs>
          <w:tab w:val="left" w:pos="360"/>
        </w:tabs>
        <w:kinsoku/>
        <w:wordWrap/>
        <w:overflowPunct/>
        <w:topLinePunct w:val="0"/>
        <w:autoSpaceDE/>
        <w:autoSpaceDN/>
        <w:bidi w:val="0"/>
        <w:adjustRightInd/>
        <w:snapToGrid w:val="0"/>
        <w:spacing w:line="360" w:lineRule="auto"/>
        <w:ind w:firstLine="480" w:firstLineChars="200"/>
        <w:jc w:val="left"/>
        <w:textAlignment w:val="auto"/>
        <w:rPr>
          <w:rFonts w:ascii="Times New Roman" w:hAnsi="Times New Roman" w:eastAsia="仿宋"/>
          <w:color w:val="auto"/>
          <w:sz w:val="24"/>
          <w:szCs w:val="24"/>
          <w:highlight w:val="none"/>
        </w:rPr>
      </w:pPr>
      <w:r>
        <w:rPr>
          <w:rFonts w:ascii="Times New Roman" w:hAnsi="Times New Roman" w:eastAsia="仿宋"/>
          <w:color w:val="auto"/>
          <w:sz w:val="24"/>
          <w:szCs w:val="24"/>
          <w:highlight w:val="none"/>
        </w:rPr>
        <w:t>5.2</w:t>
      </w:r>
      <w:r>
        <w:rPr>
          <w:rFonts w:hint="eastAsia" w:ascii="Times New Roman" w:hAnsi="Times New Roman" w:eastAsia="仿宋"/>
          <w:color w:val="auto"/>
          <w:sz w:val="24"/>
          <w:szCs w:val="24"/>
          <w:highlight w:val="none"/>
        </w:rPr>
        <w:t>获取方式：凡有意参加</w:t>
      </w:r>
      <w:r>
        <w:rPr>
          <w:rFonts w:hint="eastAsia" w:ascii="Times New Roman" w:hAnsi="Times New Roman" w:eastAsia="仿宋"/>
          <w:color w:val="auto"/>
          <w:sz w:val="24"/>
          <w:szCs w:val="24"/>
          <w:highlight w:val="none"/>
          <w:lang w:eastAsia="zh-CN"/>
        </w:rPr>
        <w:t>响应</w:t>
      </w:r>
      <w:r>
        <w:rPr>
          <w:rFonts w:hint="eastAsia" w:ascii="Times New Roman" w:hAnsi="Times New Roman" w:eastAsia="仿宋"/>
          <w:color w:val="auto"/>
          <w:sz w:val="24"/>
          <w:szCs w:val="24"/>
          <w:highlight w:val="none"/>
        </w:rPr>
        <w:t>者，请在规定时间内登录</w:t>
      </w:r>
      <w:r>
        <w:rPr>
          <w:rFonts w:ascii="Times New Roman" w:hAnsi="Times New Roman" w:eastAsia="仿宋"/>
          <w:color w:val="auto"/>
          <w:sz w:val="24"/>
          <w:szCs w:val="24"/>
          <w:highlight w:val="none"/>
        </w:rPr>
        <w:fldChar w:fldCharType="begin"/>
      </w:r>
      <w:r>
        <w:rPr>
          <w:rFonts w:ascii="Times New Roman" w:hAnsi="Times New Roman" w:eastAsia="仿宋"/>
          <w:color w:val="auto"/>
          <w:sz w:val="24"/>
          <w:szCs w:val="24"/>
          <w:highlight w:val="none"/>
        </w:rPr>
        <w:instrText xml:space="preserve"> HYPERLINK "http://www.youzhicai.com）购买并下载招标文件。" </w:instrText>
      </w:r>
      <w:r>
        <w:rPr>
          <w:rFonts w:ascii="Times New Roman" w:hAnsi="Times New Roman" w:eastAsia="仿宋"/>
          <w:color w:val="auto"/>
          <w:sz w:val="24"/>
          <w:szCs w:val="24"/>
          <w:highlight w:val="none"/>
        </w:rPr>
        <w:fldChar w:fldCharType="separate"/>
      </w:r>
      <w:r>
        <w:rPr>
          <w:rFonts w:hint="eastAsia" w:ascii="Times New Roman" w:hAnsi="Times New Roman" w:eastAsia="仿宋"/>
          <w:color w:val="auto"/>
          <w:sz w:val="24"/>
          <w:szCs w:val="24"/>
          <w:highlight w:val="none"/>
        </w:rPr>
        <w:t>“优质采</w:t>
      </w:r>
      <w:r>
        <w:rPr>
          <w:rFonts w:hint="eastAsia" w:ascii="Times New Roman" w:hAnsi="Times New Roman" w:eastAsia="仿宋"/>
          <w:color w:val="auto"/>
          <w:sz w:val="24"/>
          <w:szCs w:val="24"/>
          <w:highlight w:val="none"/>
          <w:lang w:val="en-US" w:eastAsia="zh-CN"/>
        </w:rPr>
        <w:t>云采购平台</w:t>
      </w:r>
      <w:r>
        <w:rPr>
          <w:rFonts w:hint="eastAsia" w:ascii="Times New Roman" w:hAnsi="Times New Roman" w:eastAsia="仿宋"/>
          <w:color w:val="auto"/>
          <w:sz w:val="24"/>
          <w:szCs w:val="24"/>
          <w:highlight w:val="none"/>
        </w:rPr>
        <w:t>”（网址：www.youzhicai.com）购买并下载</w:t>
      </w:r>
      <w:r>
        <w:rPr>
          <w:rFonts w:hint="eastAsia" w:ascii="Times New Roman" w:hAnsi="Times New Roman" w:eastAsia="仿宋"/>
          <w:color w:val="auto"/>
          <w:sz w:val="24"/>
          <w:szCs w:val="24"/>
          <w:highlight w:val="none"/>
          <w:lang w:eastAsia="zh-CN"/>
        </w:rPr>
        <w:t>采购</w:t>
      </w:r>
      <w:r>
        <w:rPr>
          <w:rFonts w:hint="eastAsia" w:ascii="Times New Roman" w:hAnsi="Times New Roman" w:eastAsia="仿宋"/>
          <w:color w:val="auto"/>
          <w:sz w:val="24"/>
          <w:szCs w:val="24"/>
          <w:highlight w:val="none"/>
        </w:rPr>
        <w:t>文件。</w:t>
      </w:r>
      <w:r>
        <w:rPr>
          <w:rFonts w:hint="eastAsia" w:ascii="Times New Roman" w:hAnsi="Times New Roman" w:eastAsia="仿宋"/>
          <w:color w:val="auto"/>
          <w:sz w:val="24"/>
          <w:szCs w:val="24"/>
          <w:highlight w:val="none"/>
        </w:rPr>
        <w:fldChar w:fldCharType="end"/>
      </w:r>
    </w:p>
    <w:p w14:paraId="3B73EFA0">
      <w:pPr>
        <w:pageBreakBefore w:val="0"/>
        <w:widowControl w:val="0"/>
        <w:tabs>
          <w:tab w:val="left" w:pos="360"/>
        </w:tabs>
        <w:kinsoku/>
        <w:wordWrap/>
        <w:overflowPunct/>
        <w:topLinePunct w:val="0"/>
        <w:autoSpaceDE/>
        <w:autoSpaceDN/>
        <w:bidi w:val="0"/>
        <w:adjustRightInd/>
        <w:snapToGrid w:val="0"/>
        <w:spacing w:line="360" w:lineRule="auto"/>
        <w:ind w:firstLine="480" w:firstLineChars="200"/>
        <w:jc w:val="left"/>
        <w:textAlignment w:val="auto"/>
        <w:rPr>
          <w:rFonts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rPr>
        <w:t>售价：</w:t>
      </w:r>
      <w:r>
        <w:rPr>
          <w:rFonts w:hint="eastAsia" w:ascii="Times New Roman" w:hAnsi="Times New Roman" w:eastAsia="仿宋"/>
          <w:color w:val="auto"/>
          <w:sz w:val="24"/>
          <w:szCs w:val="24"/>
          <w:highlight w:val="none"/>
          <w:lang w:val="en-US" w:eastAsia="zh-CN"/>
        </w:rPr>
        <w:t>400元/份。</w:t>
      </w:r>
      <w:r>
        <w:rPr>
          <w:rFonts w:hint="eastAsia" w:ascii="Times New Roman" w:hAnsi="Times New Roman" w:eastAsia="仿宋"/>
          <w:color w:val="auto"/>
          <w:sz w:val="24"/>
          <w:szCs w:val="24"/>
          <w:highlight w:val="none"/>
        </w:rPr>
        <w:t>售后不退。</w:t>
      </w:r>
    </w:p>
    <w:p w14:paraId="50BC3D7A">
      <w:pPr>
        <w:pStyle w:val="5"/>
        <w:pageBreakBefore w:val="0"/>
        <w:widowControl w:val="0"/>
        <w:kinsoku/>
        <w:wordWrap/>
        <w:overflowPunct/>
        <w:topLinePunct w:val="0"/>
        <w:autoSpaceDE/>
        <w:autoSpaceDN/>
        <w:bidi w:val="0"/>
        <w:adjustRightInd/>
        <w:snapToGrid w:val="0"/>
        <w:spacing w:before="0" w:after="0" w:line="360" w:lineRule="auto"/>
        <w:textAlignment w:val="auto"/>
        <w:rPr>
          <w:rFonts w:ascii="Times New Roman" w:hAnsi="Times New Roman"/>
          <w:b w:val="0"/>
          <w:color w:val="auto"/>
          <w:sz w:val="24"/>
          <w:highlight w:val="none"/>
        </w:rPr>
      </w:pPr>
      <w:bookmarkStart w:id="8" w:name="_Toc5823"/>
      <w:bookmarkStart w:id="9" w:name="_Toc6160"/>
      <w:bookmarkStart w:id="10" w:name="_Toc26386"/>
      <w:bookmarkStart w:id="11" w:name="_Toc28603"/>
      <w:bookmarkStart w:id="12" w:name="_Toc151393376"/>
      <w:bookmarkStart w:id="13" w:name="_Toc21708"/>
      <w:bookmarkStart w:id="14" w:name="_Toc13489"/>
      <w:r>
        <w:rPr>
          <w:rFonts w:ascii="Times New Roman" w:hAnsi="Times New Roman" w:eastAsia="仿宋"/>
          <w:color w:val="auto"/>
          <w:highlight w:val="none"/>
        </w:rPr>
        <w:t xml:space="preserve">6. </w:t>
      </w:r>
      <w:r>
        <w:rPr>
          <w:rFonts w:hint="eastAsia" w:ascii="Times New Roman" w:hAnsi="Times New Roman" w:eastAsia="仿宋"/>
          <w:color w:val="auto"/>
          <w:highlight w:val="none"/>
          <w:lang w:eastAsia="zh-CN"/>
        </w:rPr>
        <w:t>响应</w:t>
      </w:r>
      <w:r>
        <w:rPr>
          <w:rFonts w:hint="eastAsia" w:ascii="Times New Roman" w:hAnsi="Times New Roman" w:eastAsia="仿宋"/>
          <w:color w:val="auto"/>
          <w:highlight w:val="none"/>
        </w:rPr>
        <w:t>文件的递交</w:t>
      </w:r>
      <w:bookmarkEnd w:id="8"/>
      <w:bookmarkEnd w:id="9"/>
      <w:bookmarkEnd w:id="10"/>
      <w:bookmarkEnd w:id="11"/>
      <w:bookmarkEnd w:id="12"/>
      <w:bookmarkEnd w:id="13"/>
      <w:bookmarkEnd w:id="14"/>
    </w:p>
    <w:p w14:paraId="75483D17">
      <w:pPr>
        <w:pageBreakBefore w:val="0"/>
        <w:widowControl w:val="0"/>
        <w:tabs>
          <w:tab w:val="left" w:pos="360"/>
        </w:tabs>
        <w:kinsoku/>
        <w:wordWrap/>
        <w:overflowPunct/>
        <w:topLinePunct w:val="0"/>
        <w:autoSpaceDE/>
        <w:autoSpaceDN/>
        <w:bidi w:val="0"/>
        <w:adjustRightInd/>
        <w:snapToGrid w:val="0"/>
        <w:spacing w:line="360" w:lineRule="auto"/>
        <w:ind w:firstLine="480" w:firstLineChars="200"/>
        <w:jc w:val="left"/>
        <w:textAlignment w:val="auto"/>
        <w:rPr>
          <w:rFonts w:hint="eastAsia" w:ascii="Times New Roman" w:hAnsi="Times New Roman" w:eastAsia="仿宋"/>
          <w:color w:val="auto"/>
          <w:sz w:val="24"/>
          <w:szCs w:val="24"/>
          <w:highlight w:val="none"/>
        </w:rPr>
      </w:pPr>
      <w:r>
        <w:rPr>
          <w:rFonts w:ascii="Times New Roman" w:hAnsi="Times New Roman" w:eastAsia="仿宋"/>
          <w:color w:val="auto"/>
          <w:sz w:val="24"/>
          <w:szCs w:val="24"/>
          <w:highlight w:val="none"/>
        </w:rPr>
        <w:t>6</w:t>
      </w:r>
      <w:r>
        <w:rPr>
          <w:rFonts w:hint="eastAsia" w:ascii="Times New Roman" w:hAnsi="Times New Roman" w:eastAsia="仿宋"/>
          <w:color w:val="auto"/>
          <w:sz w:val="24"/>
          <w:szCs w:val="24"/>
          <w:highlight w:val="none"/>
        </w:rPr>
        <w:t>.1</w:t>
      </w:r>
      <w:r>
        <w:rPr>
          <w:rFonts w:hint="eastAsia" w:ascii="Times New Roman" w:hAnsi="Times New Roman" w:eastAsia="仿宋"/>
          <w:color w:val="auto"/>
          <w:sz w:val="24"/>
          <w:szCs w:val="24"/>
          <w:highlight w:val="none"/>
          <w:lang w:eastAsia="zh-CN"/>
        </w:rPr>
        <w:t>响应</w:t>
      </w:r>
      <w:r>
        <w:rPr>
          <w:rFonts w:hint="eastAsia" w:ascii="Times New Roman" w:hAnsi="Times New Roman" w:eastAsia="仿宋"/>
          <w:color w:val="auto"/>
          <w:sz w:val="24"/>
          <w:szCs w:val="24"/>
          <w:highlight w:val="none"/>
        </w:rPr>
        <w:t>文件递交截止时间（</w:t>
      </w:r>
      <w:r>
        <w:rPr>
          <w:rFonts w:hint="eastAsia" w:ascii="Times New Roman" w:hAnsi="Times New Roman" w:eastAsia="仿宋"/>
          <w:color w:val="auto"/>
          <w:sz w:val="24"/>
          <w:szCs w:val="24"/>
          <w:highlight w:val="none"/>
          <w:lang w:eastAsia="zh-CN"/>
        </w:rPr>
        <w:t>响应</w:t>
      </w:r>
      <w:r>
        <w:rPr>
          <w:rFonts w:hint="eastAsia" w:ascii="Times New Roman" w:hAnsi="Times New Roman" w:eastAsia="仿宋"/>
          <w:color w:val="auto"/>
          <w:sz w:val="24"/>
          <w:szCs w:val="24"/>
          <w:highlight w:val="none"/>
        </w:rPr>
        <w:t>截止时间，下同）：</w:t>
      </w:r>
      <w:r>
        <w:rPr>
          <w:rFonts w:hint="eastAsia" w:ascii="Times New Roman" w:hAnsi="Times New Roman" w:eastAsia="仿宋"/>
          <w:color w:val="auto"/>
          <w:sz w:val="24"/>
          <w:szCs w:val="24"/>
          <w:highlight w:val="none"/>
          <w:lang w:val="en-US" w:eastAsia="zh-CN"/>
        </w:rPr>
        <w:t>2026</w:t>
      </w:r>
      <w:r>
        <w:rPr>
          <w:rFonts w:hint="eastAsia" w:ascii="Times New Roman" w:hAnsi="Times New Roman" w:eastAsia="仿宋"/>
          <w:color w:val="auto"/>
          <w:sz w:val="24"/>
          <w:szCs w:val="24"/>
          <w:highlight w:val="none"/>
        </w:rPr>
        <w:t>年</w:t>
      </w:r>
      <w:r>
        <w:rPr>
          <w:rFonts w:hint="eastAsia" w:eastAsia="仿宋"/>
          <w:color w:val="auto"/>
          <w:sz w:val="24"/>
          <w:szCs w:val="24"/>
          <w:highlight w:val="none"/>
          <w:lang w:val="en-US" w:eastAsia="zh-CN"/>
        </w:rPr>
        <w:t>9</w:t>
      </w:r>
      <w:r>
        <w:rPr>
          <w:rFonts w:hint="eastAsia" w:ascii="Times New Roman" w:hAnsi="Times New Roman" w:eastAsia="仿宋"/>
          <w:color w:val="auto"/>
          <w:sz w:val="24"/>
          <w:szCs w:val="24"/>
          <w:highlight w:val="none"/>
        </w:rPr>
        <w:t>月</w:t>
      </w:r>
      <w:r>
        <w:rPr>
          <w:rFonts w:hint="eastAsia" w:eastAsia="仿宋"/>
          <w:color w:val="auto"/>
          <w:sz w:val="24"/>
          <w:szCs w:val="24"/>
          <w:highlight w:val="none"/>
          <w:lang w:val="en-US" w:eastAsia="zh-CN"/>
        </w:rPr>
        <w:t>9</w:t>
      </w:r>
      <w:r>
        <w:rPr>
          <w:rFonts w:hint="eastAsia" w:ascii="Times New Roman" w:hAnsi="Times New Roman" w:eastAsia="仿宋"/>
          <w:color w:val="auto"/>
          <w:sz w:val="24"/>
          <w:szCs w:val="24"/>
          <w:highlight w:val="none"/>
        </w:rPr>
        <w:t>日</w:t>
      </w:r>
      <w:r>
        <w:rPr>
          <w:rFonts w:hint="eastAsia" w:ascii="Times New Roman" w:hAnsi="Times New Roman" w:eastAsia="仿宋"/>
          <w:color w:val="auto"/>
          <w:sz w:val="24"/>
          <w:szCs w:val="24"/>
          <w:highlight w:val="none"/>
          <w:lang w:val="en-US" w:eastAsia="zh-CN"/>
        </w:rPr>
        <w:t>10</w:t>
      </w:r>
      <w:r>
        <w:rPr>
          <w:rFonts w:hint="eastAsia" w:ascii="Times New Roman" w:hAnsi="Times New Roman" w:eastAsia="仿宋"/>
          <w:color w:val="auto"/>
          <w:sz w:val="24"/>
          <w:szCs w:val="24"/>
          <w:highlight w:val="none"/>
        </w:rPr>
        <w:t>时</w:t>
      </w:r>
      <w:r>
        <w:rPr>
          <w:rFonts w:hint="eastAsia" w:ascii="Times New Roman" w:hAnsi="Times New Roman" w:eastAsia="仿宋"/>
          <w:color w:val="auto"/>
          <w:sz w:val="24"/>
          <w:szCs w:val="24"/>
          <w:highlight w:val="none"/>
          <w:lang w:val="en-US" w:eastAsia="zh-CN"/>
        </w:rPr>
        <w:t>00</w:t>
      </w:r>
      <w:r>
        <w:rPr>
          <w:rFonts w:hint="eastAsia" w:ascii="Times New Roman" w:hAnsi="Times New Roman" w:eastAsia="仿宋"/>
          <w:color w:val="auto"/>
          <w:sz w:val="24"/>
          <w:szCs w:val="24"/>
          <w:highlight w:val="none"/>
        </w:rPr>
        <w:t>分。</w:t>
      </w:r>
    </w:p>
    <w:p w14:paraId="2F4F7AD9">
      <w:pPr>
        <w:pageBreakBefore w:val="0"/>
        <w:widowControl w:val="0"/>
        <w:tabs>
          <w:tab w:val="left" w:pos="360"/>
        </w:tabs>
        <w:kinsoku/>
        <w:wordWrap/>
        <w:overflowPunct/>
        <w:topLinePunct w:val="0"/>
        <w:autoSpaceDE/>
        <w:autoSpaceDN/>
        <w:bidi w:val="0"/>
        <w:adjustRightInd/>
        <w:snapToGrid w:val="0"/>
        <w:spacing w:line="360" w:lineRule="auto"/>
        <w:ind w:firstLine="480" w:firstLineChars="200"/>
        <w:jc w:val="left"/>
        <w:textAlignment w:val="auto"/>
        <w:rPr>
          <w:rFonts w:hint="eastAsia" w:ascii="Times New Roman" w:hAnsi="Times New Roman" w:eastAsia="仿宋"/>
          <w:color w:val="auto"/>
          <w:sz w:val="24"/>
          <w:szCs w:val="24"/>
          <w:highlight w:val="none"/>
          <w:lang w:eastAsia="zh-CN"/>
        </w:rPr>
      </w:pPr>
      <w:r>
        <w:rPr>
          <w:rFonts w:ascii="Times New Roman" w:hAnsi="Times New Roman" w:eastAsia="仿宋"/>
          <w:color w:val="auto"/>
          <w:sz w:val="24"/>
          <w:szCs w:val="24"/>
          <w:highlight w:val="none"/>
        </w:rPr>
        <w:t>6</w:t>
      </w:r>
      <w:r>
        <w:rPr>
          <w:rFonts w:hint="eastAsia" w:ascii="Times New Roman" w:hAnsi="Times New Roman" w:eastAsia="仿宋"/>
          <w:color w:val="auto"/>
          <w:sz w:val="24"/>
          <w:szCs w:val="24"/>
          <w:highlight w:val="none"/>
        </w:rPr>
        <w:t>.2</w:t>
      </w:r>
      <w:r>
        <w:rPr>
          <w:rFonts w:hint="eastAsia" w:ascii="Times New Roman" w:hAnsi="Times New Roman" w:eastAsia="仿宋"/>
          <w:color w:val="auto"/>
          <w:sz w:val="24"/>
          <w:szCs w:val="24"/>
          <w:highlight w:val="none"/>
          <w:lang w:eastAsia="zh-CN"/>
        </w:rPr>
        <w:t>响应</w:t>
      </w:r>
      <w:r>
        <w:rPr>
          <w:rFonts w:hint="eastAsia" w:ascii="Times New Roman" w:hAnsi="Times New Roman" w:eastAsia="仿宋"/>
          <w:color w:val="auto"/>
          <w:sz w:val="24"/>
          <w:szCs w:val="24"/>
          <w:highlight w:val="none"/>
        </w:rPr>
        <w:t>文件递交地点：通过优质采云采购平台递交电子响应文件</w:t>
      </w:r>
      <w:r>
        <w:rPr>
          <w:rFonts w:hint="eastAsia" w:ascii="Times New Roman" w:hAnsi="Times New Roman" w:eastAsia="仿宋"/>
          <w:color w:val="auto"/>
          <w:sz w:val="24"/>
          <w:szCs w:val="24"/>
          <w:highlight w:val="none"/>
          <w:lang w:eastAsia="zh-CN"/>
        </w:rPr>
        <w:t>。</w:t>
      </w:r>
    </w:p>
    <w:p w14:paraId="301EB811">
      <w:pPr>
        <w:pStyle w:val="5"/>
        <w:pageBreakBefore w:val="0"/>
        <w:widowControl w:val="0"/>
        <w:numPr>
          <w:ilvl w:val="0"/>
          <w:numId w:val="1"/>
        </w:numPr>
        <w:kinsoku/>
        <w:wordWrap/>
        <w:overflowPunct/>
        <w:topLinePunct w:val="0"/>
        <w:autoSpaceDE/>
        <w:autoSpaceDN/>
        <w:bidi w:val="0"/>
        <w:adjustRightInd/>
        <w:snapToGrid w:val="0"/>
        <w:spacing w:before="0" w:after="0" w:line="360" w:lineRule="auto"/>
        <w:ind w:left="0"/>
        <w:textAlignment w:val="auto"/>
        <w:rPr>
          <w:rFonts w:hint="eastAsia" w:ascii="Times New Roman" w:hAnsi="Times New Roman" w:eastAsia="仿宋"/>
          <w:color w:val="auto"/>
          <w:highlight w:val="none"/>
          <w:lang w:val="en-US" w:eastAsia="zh-CN"/>
        </w:rPr>
      </w:pPr>
      <w:r>
        <w:rPr>
          <w:rFonts w:hint="eastAsia" w:ascii="Times New Roman" w:hAnsi="Times New Roman" w:eastAsia="仿宋"/>
          <w:color w:val="auto"/>
          <w:highlight w:val="none"/>
          <w:lang w:val="en-US" w:eastAsia="zh-CN"/>
        </w:rPr>
        <w:t>评审办法</w:t>
      </w:r>
    </w:p>
    <w:p w14:paraId="0173F1A9">
      <w:pPr>
        <w:pageBreakBefore w:val="0"/>
        <w:widowControl w:val="0"/>
        <w:tabs>
          <w:tab w:val="left" w:pos="360"/>
        </w:tabs>
        <w:kinsoku/>
        <w:wordWrap/>
        <w:overflowPunct/>
        <w:topLinePunct w:val="0"/>
        <w:autoSpaceDE/>
        <w:autoSpaceDN/>
        <w:bidi w:val="0"/>
        <w:adjustRightInd/>
        <w:snapToGrid w:val="0"/>
        <w:spacing w:line="360" w:lineRule="auto"/>
        <w:ind w:firstLine="480" w:firstLineChars="200"/>
        <w:jc w:val="left"/>
        <w:textAlignment w:val="auto"/>
        <w:rPr>
          <w:rFonts w:hint="eastAsia" w:ascii="Times New Roman" w:hAnsi="Times New Roman" w:eastAsia="仿宋"/>
          <w:color w:val="auto"/>
          <w:sz w:val="24"/>
          <w:szCs w:val="24"/>
          <w:highlight w:val="none"/>
        </w:rPr>
      </w:pPr>
      <w:r>
        <w:rPr>
          <w:rFonts w:hint="eastAsia" w:ascii="Times New Roman" w:hAnsi="Times New Roman" w:eastAsia="仿宋" w:cs="Times New Roman"/>
          <w:bCs w:val="0"/>
          <w:snapToGrid/>
          <w:color w:val="auto"/>
          <w:sz w:val="24"/>
          <w:szCs w:val="24"/>
          <w:highlight w:val="none"/>
        </w:rPr>
        <w:t>本项目评</w:t>
      </w:r>
      <w:r>
        <w:rPr>
          <w:rFonts w:hint="eastAsia" w:ascii="Times New Roman" w:hAnsi="Times New Roman" w:eastAsia="仿宋" w:cs="Times New Roman"/>
          <w:bCs w:val="0"/>
          <w:snapToGrid/>
          <w:color w:val="auto"/>
          <w:sz w:val="24"/>
          <w:szCs w:val="24"/>
          <w:highlight w:val="none"/>
          <w:lang w:val="en-US" w:eastAsia="zh-CN"/>
        </w:rPr>
        <w:t>审</w:t>
      </w:r>
      <w:r>
        <w:rPr>
          <w:rFonts w:hint="eastAsia" w:ascii="Times New Roman" w:hAnsi="Times New Roman" w:eastAsia="仿宋" w:cs="Times New Roman"/>
          <w:bCs w:val="0"/>
          <w:snapToGrid/>
          <w:color w:val="auto"/>
          <w:sz w:val="24"/>
          <w:szCs w:val="24"/>
          <w:highlight w:val="none"/>
        </w:rPr>
        <w:t>办法采用</w:t>
      </w:r>
      <w:r>
        <w:rPr>
          <w:rFonts w:hint="eastAsia" w:ascii="仿宋" w:hAnsi="仿宋" w:eastAsia="仿宋" w:cs="Times New Roman"/>
          <w:color w:val="auto"/>
          <w:sz w:val="24"/>
          <w:szCs w:val="24"/>
          <w:highlight w:val="none"/>
          <w:u w:val="none"/>
          <w:lang w:val="en-US" w:eastAsia="zh-CN"/>
        </w:rPr>
        <w:t>综合评估法</w:t>
      </w:r>
      <w:r>
        <w:rPr>
          <w:rFonts w:hint="eastAsia" w:ascii="仿宋" w:hAnsi="仿宋" w:eastAsia="仿宋" w:cs="Times New Roman"/>
          <w:color w:val="auto"/>
          <w:sz w:val="24"/>
          <w:szCs w:val="24"/>
          <w:highlight w:val="none"/>
          <w:u w:val="none"/>
        </w:rPr>
        <w:t xml:space="preserve"> </w:t>
      </w:r>
      <w:r>
        <w:rPr>
          <w:rFonts w:hint="eastAsia" w:ascii="Times New Roman" w:hAnsi="Times New Roman" w:eastAsia="仿宋" w:cs="Times New Roman"/>
          <w:color w:val="auto"/>
          <w:sz w:val="24"/>
          <w:szCs w:val="24"/>
          <w:highlight w:val="none"/>
          <w:u w:val="none"/>
          <w:lang w:eastAsia="zh-CN"/>
        </w:rPr>
        <w:t>。</w:t>
      </w:r>
      <w:bookmarkStart w:id="15" w:name="_Hlk110266409"/>
      <w:r>
        <w:rPr>
          <w:rFonts w:hint="eastAsia" w:ascii="Times New Roman" w:hAnsi="Times New Roman" w:eastAsia="仿宋" w:cs="Times New Roman"/>
          <w:bCs w:val="0"/>
          <w:snapToGrid/>
          <w:color w:val="auto"/>
          <w:sz w:val="24"/>
          <w:szCs w:val="24"/>
          <w:highlight w:val="none"/>
          <w:lang w:eastAsia="zh-CN"/>
        </w:rPr>
        <w:t>（</w:t>
      </w:r>
      <w:r>
        <w:rPr>
          <w:rFonts w:hint="eastAsia" w:ascii="Times New Roman" w:hAnsi="Times New Roman" w:eastAsia="仿宋" w:cs="Times New Roman"/>
          <w:bCs w:val="0"/>
          <w:snapToGrid/>
          <w:color w:val="auto"/>
          <w:sz w:val="24"/>
          <w:szCs w:val="24"/>
          <w:highlight w:val="none"/>
        </w:rPr>
        <w:t>见</w:t>
      </w:r>
      <w:r>
        <w:rPr>
          <w:rFonts w:hint="eastAsia" w:ascii="Times New Roman" w:hAnsi="Times New Roman" w:eastAsia="仿宋" w:cs="Times New Roman"/>
          <w:bCs w:val="0"/>
          <w:snapToGrid/>
          <w:color w:val="auto"/>
          <w:sz w:val="24"/>
          <w:szCs w:val="24"/>
          <w:highlight w:val="none"/>
          <w:lang w:val="en-US" w:eastAsia="zh-CN"/>
        </w:rPr>
        <w:t>采购</w:t>
      </w:r>
      <w:r>
        <w:rPr>
          <w:rFonts w:hint="eastAsia" w:ascii="Times New Roman" w:hAnsi="Times New Roman" w:eastAsia="仿宋" w:cs="Times New Roman"/>
          <w:bCs w:val="0"/>
          <w:snapToGrid/>
          <w:color w:val="auto"/>
          <w:sz w:val="24"/>
          <w:szCs w:val="24"/>
          <w:highlight w:val="none"/>
        </w:rPr>
        <w:t>文件第三章“评</w:t>
      </w:r>
      <w:r>
        <w:rPr>
          <w:rFonts w:hint="eastAsia" w:ascii="Times New Roman" w:hAnsi="Times New Roman" w:eastAsia="仿宋" w:cs="Times New Roman"/>
          <w:bCs w:val="0"/>
          <w:snapToGrid/>
          <w:color w:val="auto"/>
          <w:sz w:val="24"/>
          <w:szCs w:val="24"/>
          <w:highlight w:val="none"/>
          <w:lang w:val="en-US" w:eastAsia="zh-CN"/>
        </w:rPr>
        <w:t>审</w:t>
      </w:r>
      <w:r>
        <w:rPr>
          <w:rFonts w:hint="eastAsia" w:ascii="Times New Roman" w:hAnsi="Times New Roman" w:eastAsia="仿宋" w:cs="Times New Roman"/>
          <w:bCs w:val="0"/>
          <w:snapToGrid/>
          <w:color w:val="auto"/>
          <w:sz w:val="24"/>
          <w:szCs w:val="24"/>
          <w:highlight w:val="none"/>
        </w:rPr>
        <w:t>办法”</w:t>
      </w:r>
      <w:bookmarkEnd w:id="15"/>
      <w:r>
        <w:rPr>
          <w:rFonts w:hint="eastAsia" w:ascii="Times New Roman" w:hAnsi="Times New Roman" w:eastAsia="仿宋" w:cs="Times New Roman"/>
          <w:bCs w:val="0"/>
          <w:snapToGrid/>
          <w:color w:val="auto"/>
          <w:sz w:val="24"/>
          <w:szCs w:val="24"/>
          <w:highlight w:val="none"/>
          <w:lang w:eastAsia="zh-CN"/>
        </w:rPr>
        <w:t>）</w:t>
      </w:r>
    </w:p>
    <w:p w14:paraId="43988CD5">
      <w:pPr>
        <w:pStyle w:val="5"/>
        <w:pageBreakBefore w:val="0"/>
        <w:widowControl w:val="0"/>
        <w:kinsoku/>
        <w:wordWrap/>
        <w:overflowPunct/>
        <w:topLinePunct w:val="0"/>
        <w:autoSpaceDE/>
        <w:autoSpaceDN/>
        <w:bidi w:val="0"/>
        <w:adjustRightInd/>
        <w:snapToGrid w:val="0"/>
        <w:spacing w:before="0" w:after="0" w:line="360" w:lineRule="auto"/>
        <w:textAlignment w:val="auto"/>
        <w:rPr>
          <w:rFonts w:ascii="Times New Roman" w:hAnsi="Times New Roman" w:eastAsia="仿宋"/>
          <w:color w:val="auto"/>
          <w:highlight w:val="none"/>
        </w:rPr>
      </w:pPr>
      <w:bookmarkStart w:id="16" w:name="_Toc5616"/>
      <w:bookmarkStart w:id="17" w:name="_Toc1903"/>
      <w:bookmarkStart w:id="18" w:name="_Toc11971"/>
      <w:bookmarkStart w:id="19" w:name="_Toc11859"/>
      <w:bookmarkStart w:id="20" w:name="_Toc151393377"/>
      <w:bookmarkStart w:id="21" w:name="_Toc31939"/>
      <w:bookmarkStart w:id="22" w:name="_Toc16310"/>
      <w:r>
        <w:rPr>
          <w:rFonts w:hint="eastAsia" w:ascii="Times New Roman" w:hAnsi="Times New Roman" w:eastAsia="仿宋"/>
          <w:color w:val="auto"/>
          <w:highlight w:val="none"/>
          <w:lang w:val="en-US" w:eastAsia="zh-CN"/>
        </w:rPr>
        <w:t>8</w:t>
      </w:r>
      <w:r>
        <w:rPr>
          <w:rFonts w:hint="eastAsia" w:ascii="Times New Roman" w:hAnsi="Times New Roman" w:eastAsia="仿宋"/>
          <w:color w:val="auto"/>
          <w:highlight w:val="none"/>
        </w:rPr>
        <w:t xml:space="preserve">. </w:t>
      </w:r>
      <w:r>
        <w:rPr>
          <w:rFonts w:hint="eastAsia" w:ascii="Times New Roman" w:hAnsi="Times New Roman" w:eastAsia="仿宋"/>
          <w:color w:val="auto"/>
          <w:highlight w:val="none"/>
          <w:lang w:val="en-US" w:eastAsia="zh-CN"/>
        </w:rPr>
        <w:t>响应文件开启</w:t>
      </w:r>
      <w:r>
        <w:rPr>
          <w:rFonts w:hint="eastAsia" w:ascii="Times New Roman" w:hAnsi="Times New Roman" w:eastAsia="仿宋"/>
          <w:color w:val="auto"/>
          <w:highlight w:val="none"/>
          <w:lang w:eastAsia="zh-CN"/>
        </w:rPr>
        <w:t>时间</w:t>
      </w:r>
      <w:r>
        <w:rPr>
          <w:rFonts w:hint="eastAsia" w:ascii="Times New Roman" w:hAnsi="Times New Roman" w:eastAsia="仿宋"/>
          <w:color w:val="auto"/>
          <w:highlight w:val="none"/>
        </w:rPr>
        <w:t>及地点</w:t>
      </w:r>
      <w:bookmarkEnd w:id="16"/>
      <w:bookmarkEnd w:id="17"/>
      <w:bookmarkEnd w:id="18"/>
      <w:bookmarkEnd w:id="19"/>
      <w:bookmarkEnd w:id="20"/>
      <w:bookmarkEnd w:id="21"/>
      <w:bookmarkEnd w:id="22"/>
    </w:p>
    <w:p w14:paraId="000EF9C5">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lang w:val="en-US" w:eastAsia="zh-CN"/>
        </w:rPr>
        <w:t>8</w:t>
      </w:r>
      <w:r>
        <w:rPr>
          <w:rFonts w:hint="eastAsia" w:ascii="Times New Roman" w:hAnsi="Times New Roman" w:eastAsia="仿宋"/>
          <w:color w:val="auto"/>
          <w:sz w:val="24"/>
          <w:szCs w:val="24"/>
          <w:highlight w:val="none"/>
        </w:rPr>
        <w:t xml:space="preserve">.1 </w:t>
      </w:r>
      <w:r>
        <w:rPr>
          <w:rFonts w:hint="eastAsia" w:ascii="Times New Roman" w:hAnsi="Times New Roman" w:eastAsia="仿宋"/>
          <w:color w:val="auto"/>
          <w:sz w:val="24"/>
          <w:szCs w:val="24"/>
          <w:highlight w:val="none"/>
          <w:lang w:val="en-US" w:eastAsia="zh-CN"/>
        </w:rPr>
        <w:t>响应文件开启</w:t>
      </w:r>
      <w:r>
        <w:rPr>
          <w:rFonts w:hint="eastAsia" w:ascii="Times New Roman" w:hAnsi="Times New Roman" w:eastAsia="仿宋"/>
          <w:color w:val="auto"/>
          <w:sz w:val="24"/>
          <w:szCs w:val="24"/>
          <w:highlight w:val="none"/>
          <w:lang w:eastAsia="zh-CN"/>
        </w:rPr>
        <w:t>时间</w:t>
      </w:r>
      <w:r>
        <w:rPr>
          <w:rFonts w:hint="eastAsia" w:ascii="Times New Roman" w:hAnsi="Times New Roman" w:eastAsia="仿宋"/>
          <w:color w:val="auto"/>
          <w:sz w:val="24"/>
          <w:szCs w:val="24"/>
          <w:highlight w:val="none"/>
        </w:rPr>
        <w:t>：同</w:t>
      </w:r>
      <w:r>
        <w:rPr>
          <w:rFonts w:hint="eastAsia" w:ascii="Times New Roman" w:hAnsi="Times New Roman" w:eastAsia="仿宋"/>
          <w:color w:val="auto"/>
          <w:sz w:val="24"/>
          <w:szCs w:val="24"/>
          <w:highlight w:val="none"/>
          <w:lang w:eastAsia="zh-CN"/>
        </w:rPr>
        <w:t>响应</w:t>
      </w:r>
      <w:r>
        <w:rPr>
          <w:rFonts w:hint="eastAsia" w:ascii="Times New Roman" w:hAnsi="Times New Roman" w:eastAsia="仿宋"/>
          <w:color w:val="auto"/>
          <w:sz w:val="24"/>
          <w:szCs w:val="24"/>
          <w:highlight w:val="none"/>
        </w:rPr>
        <w:t>文件递交截止时间。</w:t>
      </w:r>
    </w:p>
    <w:p w14:paraId="6A995C63">
      <w:pPr>
        <w:pageBreakBefore w:val="0"/>
        <w:widowControl w:val="0"/>
        <w:tabs>
          <w:tab w:val="left" w:pos="360"/>
        </w:tabs>
        <w:kinsoku/>
        <w:wordWrap/>
        <w:overflowPunct/>
        <w:topLinePunct w:val="0"/>
        <w:autoSpaceDE/>
        <w:autoSpaceDN/>
        <w:bidi w:val="0"/>
        <w:adjustRightInd/>
        <w:snapToGrid w:val="0"/>
        <w:spacing w:line="360" w:lineRule="auto"/>
        <w:ind w:firstLine="480" w:firstLineChars="200"/>
        <w:jc w:val="left"/>
        <w:textAlignment w:val="auto"/>
        <w:rPr>
          <w:rFonts w:hint="eastAsia" w:ascii="Times New Roman" w:hAnsi="Times New Roman" w:eastAsia="仿宋"/>
          <w:color w:val="auto"/>
          <w:sz w:val="24"/>
          <w:szCs w:val="24"/>
          <w:highlight w:val="none"/>
        </w:rPr>
      </w:pPr>
      <w:r>
        <w:rPr>
          <w:rFonts w:hint="eastAsia" w:ascii="Times New Roman" w:hAnsi="Times New Roman" w:eastAsia="仿宋"/>
          <w:color w:val="auto"/>
          <w:sz w:val="24"/>
          <w:szCs w:val="24"/>
          <w:highlight w:val="none"/>
          <w:lang w:val="en-US" w:eastAsia="zh-CN"/>
        </w:rPr>
        <w:t>8</w:t>
      </w:r>
      <w:r>
        <w:rPr>
          <w:rFonts w:hint="eastAsia" w:ascii="Times New Roman" w:hAnsi="Times New Roman" w:eastAsia="仿宋"/>
          <w:color w:val="auto"/>
          <w:sz w:val="24"/>
          <w:szCs w:val="24"/>
          <w:highlight w:val="none"/>
        </w:rPr>
        <w:t xml:space="preserve">.2 </w:t>
      </w:r>
      <w:r>
        <w:rPr>
          <w:rFonts w:hint="eastAsia" w:ascii="Times New Roman" w:hAnsi="Times New Roman" w:eastAsia="仿宋"/>
          <w:color w:val="auto"/>
          <w:sz w:val="24"/>
          <w:szCs w:val="24"/>
          <w:highlight w:val="none"/>
          <w:lang w:val="en-US" w:eastAsia="zh-CN"/>
        </w:rPr>
        <w:t>响应文件开启</w:t>
      </w:r>
      <w:r>
        <w:rPr>
          <w:rFonts w:hint="eastAsia" w:ascii="Times New Roman" w:hAnsi="Times New Roman" w:eastAsia="仿宋"/>
          <w:color w:val="auto"/>
          <w:sz w:val="24"/>
          <w:szCs w:val="24"/>
          <w:highlight w:val="none"/>
          <w:lang w:eastAsia="zh-CN"/>
        </w:rPr>
        <w:t>地点</w:t>
      </w:r>
      <w:r>
        <w:rPr>
          <w:rFonts w:hint="eastAsia" w:ascii="Times New Roman" w:hAnsi="Times New Roman" w:eastAsia="仿宋"/>
          <w:color w:val="auto"/>
          <w:sz w:val="24"/>
          <w:szCs w:val="24"/>
          <w:highlight w:val="none"/>
        </w:rPr>
        <w:t>：优质采云采购平台线上开启。</w:t>
      </w:r>
    </w:p>
    <w:p w14:paraId="0AAAC933">
      <w:pPr>
        <w:pStyle w:val="5"/>
        <w:pageBreakBefore w:val="0"/>
        <w:widowControl w:val="0"/>
        <w:kinsoku/>
        <w:wordWrap/>
        <w:overflowPunct/>
        <w:topLinePunct w:val="0"/>
        <w:autoSpaceDE/>
        <w:autoSpaceDN/>
        <w:bidi w:val="0"/>
        <w:adjustRightInd/>
        <w:snapToGrid w:val="0"/>
        <w:spacing w:before="0" w:after="0" w:line="360" w:lineRule="auto"/>
        <w:textAlignment w:val="auto"/>
        <w:rPr>
          <w:rFonts w:ascii="Times New Roman" w:hAnsi="Times New Roman" w:eastAsia="仿宋"/>
          <w:color w:val="auto"/>
          <w:highlight w:val="none"/>
        </w:rPr>
      </w:pPr>
      <w:bookmarkStart w:id="23" w:name="_Toc21354"/>
      <w:bookmarkStart w:id="24" w:name="_Toc19455"/>
      <w:bookmarkStart w:id="25" w:name="_Toc151393378"/>
      <w:bookmarkStart w:id="26" w:name="_Toc7689"/>
      <w:bookmarkStart w:id="27" w:name="_Toc26582"/>
      <w:bookmarkStart w:id="28" w:name="_Toc10580"/>
      <w:bookmarkStart w:id="29" w:name="_Toc24047"/>
      <w:r>
        <w:rPr>
          <w:rFonts w:hint="eastAsia" w:ascii="Times New Roman" w:hAnsi="Times New Roman" w:eastAsia="仿宋"/>
          <w:color w:val="auto"/>
          <w:highlight w:val="none"/>
          <w:lang w:val="en-US" w:eastAsia="zh-CN"/>
        </w:rPr>
        <w:t>9</w:t>
      </w:r>
      <w:r>
        <w:rPr>
          <w:rFonts w:ascii="Times New Roman" w:hAnsi="Times New Roman" w:eastAsia="仿宋"/>
          <w:color w:val="auto"/>
          <w:highlight w:val="none"/>
        </w:rPr>
        <w:t xml:space="preserve">. </w:t>
      </w:r>
      <w:r>
        <w:rPr>
          <w:rFonts w:hint="eastAsia" w:ascii="Times New Roman" w:hAnsi="Times New Roman" w:eastAsia="仿宋"/>
          <w:color w:val="auto"/>
          <w:highlight w:val="none"/>
        </w:rPr>
        <w:t>发布公告的媒介</w:t>
      </w:r>
      <w:bookmarkEnd w:id="23"/>
      <w:bookmarkEnd w:id="24"/>
      <w:bookmarkEnd w:id="25"/>
      <w:bookmarkEnd w:id="26"/>
      <w:bookmarkEnd w:id="27"/>
      <w:bookmarkEnd w:id="28"/>
      <w:bookmarkEnd w:id="29"/>
    </w:p>
    <w:p w14:paraId="3541A2E9">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ascii="Times New Roman" w:hAnsi="Times New Roman" w:eastAsia="仿宋"/>
          <w:color w:val="auto"/>
          <w:sz w:val="24"/>
          <w:szCs w:val="24"/>
          <w:highlight w:val="none"/>
        </w:rPr>
      </w:pPr>
      <w:r>
        <w:rPr>
          <w:rFonts w:ascii="Times New Roman" w:hAnsi="Times New Roman" w:eastAsia="仿宋"/>
          <w:color w:val="auto"/>
          <w:sz w:val="24"/>
          <w:szCs w:val="24"/>
          <w:highlight w:val="none"/>
        </w:rPr>
        <w:t>本次</w:t>
      </w:r>
      <w:r>
        <w:rPr>
          <w:rFonts w:hint="eastAsia" w:ascii="Times New Roman" w:hAnsi="Times New Roman" w:eastAsia="仿宋"/>
          <w:color w:val="auto"/>
          <w:sz w:val="24"/>
          <w:szCs w:val="24"/>
          <w:highlight w:val="none"/>
          <w:lang w:eastAsia="zh-CN"/>
        </w:rPr>
        <w:t>采购公告</w:t>
      </w:r>
      <w:r>
        <w:rPr>
          <w:rFonts w:ascii="Times New Roman" w:hAnsi="Times New Roman" w:eastAsia="仿宋"/>
          <w:color w:val="auto"/>
          <w:sz w:val="24"/>
          <w:szCs w:val="24"/>
          <w:highlight w:val="none"/>
        </w:rPr>
        <w:t>同时在</w:t>
      </w:r>
      <w:r>
        <w:rPr>
          <w:rFonts w:hint="eastAsia" w:ascii="Times New Roman" w:hAnsi="Times New Roman" w:eastAsia="仿宋"/>
          <w:color w:val="auto"/>
          <w:sz w:val="24"/>
          <w:szCs w:val="24"/>
          <w:highlight w:val="none"/>
        </w:rPr>
        <w:t>安徽省招标投标信息网（www.ahtba.org.cn）、中国招标投标公共服务平台（www.cebpubservice.com）、中国采购与招标网（www.chinabidding.com.cn）和优质采电子交易系统（www.youzhicai.com）</w:t>
      </w:r>
      <w:r>
        <w:rPr>
          <w:rFonts w:hint="eastAsia" w:ascii="仿宋" w:hAnsi="仿宋" w:eastAsia="仿宋" w:cs="仿宋"/>
          <w:color w:val="auto"/>
          <w:sz w:val="24"/>
          <w:szCs w:val="24"/>
          <w:highlight w:val="none"/>
          <w:shd w:val="clear" w:color="auto" w:fill="FFFFFF"/>
        </w:rPr>
        <w:t>上发布</w:t>
      </w:r>
      <w:r>
        <w:rPr>
          <w:rFonts w:ascii="Times New Roman" w:hAnsi="Times New Roman" w:eastAsia="仿宋"/>
          <w:color w:val="auto"/>
          <w:sz w:val="24"/>
          <w:szCs w:val="24"/>
          <w:highlight w:val="none"/>
        </w:rPr>
        <w:t>。</w:t>
      </w:r>
    </w:p>
    <w:p w14:paraId="41176039">
      <w:pPr>
        <w:pStyle w:val="5"/>
        <w:pageBreakBefore w:val="0"/>
        <w:widowControl w:val="0"/>
        <w:kinsoku/>
        <w:wordWrap/>
        <w:overflowPunct/>
        <w:topLinePunct w:val="0"/>
        <w:autoSpaceDE/>
        <w:autoSpaceDN/>
        <w:bidi w:val="0"/>
        <w:adjustRightInd/>
        <w:snapToGrid w:val="0"/>
        <w:spacing w:before="0" w:after="0" w:line="360" w:lineRule="auto"/>
        <w:textAlignment w:val="auto"/>
        <w:rPr>
          <w:rFonts w:hint="default" w:ascii="Times New Roman" w:hAnsi="Times New Roman" w:eastAsia="仿宋" w:cs="Times New Roman"/>
          <w:b/>
          <w:bCs w:val="0"/>
          <w:snapToGrid/>
          <w:color w:val="auto"/>
          <w:kern w:val="2"/>
          <w:sz w:val="32"/>
          <w:szCs w:val="20"/>
          <w:highlight w:val="none"/>
        </w:rPr>
      </w:pPr>
      <w:r>
        <w:rPr>
          <w:rFonts w:hint="eastAsia" w:ascii="Times New Roman" w:hAnsi="Times New Roman" w:eastAsia="仿宋" w:cs="Times New Roman"/>
          <w:b/>
          <w:bCs w:val="0"/>
          <w:color w:val="auto"/>
          <w:sz w:val="32"/>
          <w:highlight w:val="none"/>
          <w:lang w:val="en-US" w:eastAsia="zh-CN"/>
        </w:rPr>
        <w:t>10</w:t>
      </w:r>
      <w:r>
        <w:rPr>
          <w:rFonts w:hint="default" w:ascii="Times New Roman" w:hAnsi="Times New Roman" w:eastAsia="仿宋" w:cs="Times New Roman"/>
          <w:b/>
          <w:bCs w:val="0"/>
          <w:color w:val="auto"/>
          <w:sz w:val="32"/>
          <w:highlight w:val="none"/>
        </w:rPr>
        <w:t>.联系方式</w:t>
      </w:r>
    </w:p>
    <w:p w14:paraId="036E1577">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rPr>
      </w:pPr>
      <w:r>
        <w:rPr>
          <w:rFonts w:hint="eastAsia" w:ascii="仿宋" w:hAnsi="仿宋" w:eastAsia="仿宋" w:cs="仿宋"/>
          <w:bCs/>
          <w:snapToGrid w:val="0"/>
          <w:color w:val="auto"/>
          <w:kern w:val="0"/>
          <w:sz w:val="24"/>
          <w:szCs w:val="24"/>
          <w:highlight w:val="none"/>
          <w:lang w:val="en-US" w:eastAsia="zh-CN"/>
        </w:rPr>
        <w:t>10</w:t>
      </w:r>
      <w:r>
        <w:rPr>
          <w:rFonts w:hint="eastAsia" w:ascii="仿宋" w:hAnsi="仿宋" w:eastAsia="仿宋" w:cs="仿宋"/>
          <w:bCs/>
          <w:snapToGrid w:val="0"/>
          <w:color w:val="auto"/>
          <w:kern w:val="0"/>
          <w:sz w:val="24"/>
          <w:szCs w:val="24"/>
          <w:highlight w:val="none"/>
        </w:rPr>
        <w:t>.1 采购人</w:t>
      </w:r>
    </w:p>
    <w:p w14:paraId="635F0C2F">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采 购 人：</w:t>
      </w:r>
      <w:r>
        <w:rPr>
          <w:rFonts w:hint="eastAsia" w:ascii="仿宋" w:hAnsi="仿宋" w:eastAsia="仿宋" w:cs="仿宋"/>
          <w:color w:val="auto"/>
          <w:sz w:val="24"/>
          <w:szCs w:val="24"/>
          <w:highlight w:val="none"/>
          <w:lang w:eastAsia="zh-CN"/>
        </w:rPr>
        <w:t>安徽好运机械有限公司</w:t>
      </w:r>
    </w:p>
    <w:p w14:paraId="35A4FEAA">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地址：合肥经开区桃花工业园</w:t>
      </w:r>
      <w:r>
        <w:rPr>
          <w:rFonts w:hint="eastAsia" w:ascii="仿宋" w:hAnsi="仿宋" w:eastAsia="仿宋" w:cs="仿宋"/>
          <w:color w:val="auto"/>
          <w:sz w:val="24"/>
          <w:szCs w:val="24"/>
          <w:highlight w:val="none"/>
          <w:lang w:val="en-US" w:eastAsia="zh-CN"/>
        </w:rPr>
        <w:t>汤口路32号</w:t>
      </w:r>
      <w:r>
        <w:rPr>
          <w:rFonts w:hint="eastAsia" w:ascii="仿宋" w:hAnsi="仿宋" w:eastAsia="仿宋" w:cs="仿宋"/>
          <w:color w:val="auto"/>
          <w:sz w:val="24"/>
          <w:szCs w:val="24"/>
          <w:highlight w:val="none"/>
        </w:rPr>
        <w:t>安徽好运机械有限公司技术中心</w:t>
      </w:r>
    </w:p>
    <w:p w14:paraId="6B51B58F">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联 系 人：</w:t>
      </w:r>
      <w:r>
        <w:rPr>
          <w:rFonts w:hint="eastAsia" w:ascii="仿宋" w:hAnsi="仿宋" w:eastAsia="仿宋" w:cs="仿宋"/>
          <w:color w:val="auto"/>
          <w:sz w:val="24"/>
          <w:szCs w:val="24"/>
          <w:highlight w:val="none"/>
          <w:lang w:val="en-US" w:eastAsia="zh-CN"/>
        </w:rPr>
        <w:t>白工/张工</w:t>
      </w:r>
    </w:p>
    <w:p w14:paraId="147AFAD2">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仿宋" w:hAnsi="仿宋" w:eastAsia="宋体" w:cs="仿宋"/>
          <w:color w:val="auto"/>
          <w:sz w:val="24"/>
          <w:szCs w:val="24"/>
          <w:highlight w:val="none"/>
          <w:lang w:val="en-US" w:eastAsia="zh-CN"/>
        </w:rPr>
      </w:pPr>
      <w:r>
        <w:rPr>
          <w:rFonts w:hint="eastAsia" w:ascii="仿宋" w:hAnsi="仿宋" w:eastAsia="仿宋" w:cs="仿宋"/>
          <w:color w:val="auto"/>
          <w:sz w:val="24"/>
          <w:szCs w:val="24"/>
          <w:highlight w:val="none"/>
        </w:rPr>
        <w:t>电    话：</w:t>
      </w:r>
      <w:r>
        <w:rPr>
          <w:rFonts w:hint="eastAsia" w:ascii="仿宋" w:hAnsi="仿宋" w:eastAsia="仿宋" w:cs="仿宋"/>
          <w:color w:val="auto"/>
          <w:sz w:val="24"/>
          <w:szCs w:val="24"/>
          <w:highlight w:val="none"/>
          <w:lang w:val="en-US" w:eastAsia="zh-CN"/>
        </w:rPr>
        <w:t>0551-62572952</w:t>
      </w:r>
    </w:p>
    <w:p w14:paraId="5BF28400">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rPr>
      </w:pPr>
      <w:r>
        <w:rPr>
          <w:rFonts w:hint="eastAsia" w:ascii="仿宋" w:hAnsi="仿宋" w:eastAsia="仿宋" w:cs="仿宋"/>
          <w:bCs/>
          <w:snapToGrid w:val="0"/>
          <w:color w:val="auto"/>
          <w:kern w:val="0"/>
          <w:sz w:val="24"/>
          <w:szCs w:val="24"/>
          <w:highlight w:val="none"/>
          <w:lang w:val="en-US" w:eastAsia="zh-CN"/>
        </w:rPr>
        <w:t>10</w:t>
      </w:r>
      <w:r>
        <w:rPr>
          <w:rFonts w:hint="eastAsia" w:ascii="仿宋" w:hAnsi="仿宋" w:eastAsia="仿宋" w:cs="仿宋"/>
          <w:bCs/>
          <w:snapToGrid w:val="0"/>
          <w:color w:val="auto"/>
          <w:kern w:val="0"/>
          <w:sz w:val="24"/>
          <w:szCs w:val="24"/>
          <w:highlight w:val="none"/>
        </w:rPr>
        <w:t>.2 采购代理机构</w:t>
      </w:r>
    </w:p>
    <w:p w14:paraId="47F92E7E">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采购代理机构：安徽省招标集团股份有限公司</w:t>
      </w:r>
    </w:p>
    <w:p w14:paraId="0F0C9A9A">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地    址：安徽省合肥市包河区紫云路888号</w:t>
      </w:r>
    </w:p>
    <w:p w14:paraId="31497DEC">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联 系 人：申啊康、王瑜秀</w:t>
      </w:r>
    </w:p>
    <w:p w14:paraId="0C71F4CF">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电    话：0551-66061474、66061470、18756894807</w:t>
      </w:r>
    </w:p>
    <w:p w14:paraId="4F81C473">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邮    箱：zhaobiao7@ah-inter.com</w:t>
      </w:r>
    </w:p>
    <w:p w14:paraId="7AFA51A2">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注：应急客服电话：0551-62220153（接听时间：8:30-12:00，13:30-17:30，节假日除外。潜在投标人应优先拨打项目联系人联系电话，无人接听时再拨打该“应急客服电话”）</w:t>
      </w:r>
    </w:p>
    <w:p w14:paraId="4E9A8929">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10.3异议受理联系人</w:t>
      </w:r>
    </w:p>
    <w:p w14:paraId="48DFF29F">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采购代理机构：安徽省招标集团股份有限公司</w:t>
      </w:r>
    </w:p>
    <w:p w14:paraId="4B6C89BA">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 xml:space="preserve">地址：安徽省合肥市包河区紫云路888号安徽省招标集团总部基地407室  </w:t>
      </w:r>
    </w:p>
    <w:p w14:paraId="4724B1E7">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 xml:space="preserve">联系人：张律师                            </w:t>
      </w:r>
    </w:p>
    <w:p w14:paraId="73B1DBE9">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 xml:space="preserve">电话：0551-62220155 </w:t>
      </w:r>
    </w:p>
    <w:p w14:paraId="09D189EF">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注：如对本项目有投诉的，投诉联系方式见异议回复函。</w:t>
      </w:r>
    </w:p>
    <w:p w14:paraId="45823C80">
      <w:pPr>
        <w:pStyle w:val="5"/>
        <w:pageBreakBefore w:val="0"/>
        <w:widowControl w:val="0"/>
        <w:kinsoku/>
        <w:wordWrap/>
        <w:overflowPunct/>
        <w:topLinePunct w:val="0"/>
        <w:autoSpaceDE/>
        <w:autoSpaceDN/>
        <w:bidi w:val="0"/>
        <w:adjustRightInd/>
        <w:snapToGrid w:val="0"/>
        <w:spacing w:before="0" w:after="0" w:line="360" w:lineRule="auto"/>
        <w:textAlignment w:val="auto"/>
        <w:rPr>
          <w:rFonts w:hint="default" w:ascii="Times New Roman" w:hAnsi="Times New Roman" w:eastAsia="仿宋" w:cs="Times New Roman"/>
          <w:b/>
          <w:bCs w:val="0"/>
          <w:color w:val="auto"/>
          <w:sz w:val="32"/>
          <w:highlight w:val="none"/>
        </w:rPr>
      </w:pPr>
      <w:r>
        <w:rPr>
          <w:rFonts w:hint="default" w:ascii="Times New Roman" w:hAnsi="Times New Roman" w:eastAsia="仿宋" w:cs="Times New Roman"/>
          <w:b/>
          <w:bCs w:val="0"/>
          <w:color w:val="auto"/>
          <w:sz w:val="32"/>
          <w:highlight w:val="none"/>
          <w:lang w:val="en-US" w:eastAsia="zh-CN"/>
        </w:rPr>
        <w:t>1</w:t>
      </w:r>
      <w:r>
        <w:rPr>
          <w:rFonts w:hint="eastAsia" w:ascii="Times New Roman" w:hAnsi="Times New Roman" w:eastAsia="仿宋" w:cs="Times New Roman"/>
          <w:b/>
          <w:bCs w:val="0"/>
          <w:color w:val="auto"/>
          <w:sz w:val="32"/>
          <w:highlight w:val="none"/>
          <w:lang w:val="en-US" w:eastAsia="zh-CN"/>
        </w:rPr>
        <w:t>1</w:t>
      </w:r>
      <w:r>
        <w:rPr>
          <w:rFonts w:hint="default" w:ascii="Times New Roman" w:hAnsi="Times New Roman" w:eastAsia="仿宋" w:cs="Times New Roman"/>
          <w:b/>
          <w:bCs w:val="0"/>
          <w:color w:val="auto"/>
          <w:sz w:val="32"/>
          <w:highlight w:val="none"/>
        </w:rPr>
        <w:t xml:space="preserve"> 其他事项说明</w:t>
      </w:r>
    </w:p>
    <w:p w14:paraId="78F64765">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1）供应商须登录“优质采电子交易系统”（网址：www.youzhicai.com，以下称“优质采平台”）参与本项目采购活动。首次登录须办理注册手续，请务必选择注册为“投标人角色”类型。注册流程见优质采平台“用户注册”栏目，咨询热线：400-0099-555。因未及时办理注册手续影响参加采购活动的，责任自负。</w:t>
      </w:r>
    </w:p>
    <w:p w14:paraId="3FAB9205">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2）已注册的潜在供应商可登录优质采平台获取采购文件，采购文件费用采用银联线上支付，支持各类开通银联服务的银行账户。本项目的采购文件及其他资料（含澄清、答疑及相关补充文件）通过优质采平台发布，采购人/代理机构不再另行书面通知，潜在供应商应及时关注、查阅优质采平台。因未及时查看导致不利后果的，责任自负。</w:t>
      </w:r>
    </w:p>
    <w:p w14:paraId="213E716E">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3）潜在供应商支付采购文件费用前需核对单位名称及统一社会信用代码，确认无误后支付费用，并通过优质采交易平台直接获取电子发票。若单位名称、统一社会信用代码发生变化或填写有误，须先进行注册信息修改，修改内容审核通过后，再进行费用支付。潜在供应商应对发票信息的准确性负责，发票一旦开具后，代理机构及优质采平台将不提供更换，相关风险由供应商承担。</w:t>
      </w:r>
    </w:p>
    <w:p w14:paraId="4BEE97E9">
      <w:pPr>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（4）已注册的潜在供应商若注册信息发生变更（如：与初始注册信息一致），应及时网上提交变更申请。因未及时变更导致不利后果的，责任自负。</w:t>
      </w:r>
    </w:p>
    <w:p w14:paraId="05A71904">
      <w:pPr>
        <w:pageBreakBefore w:val="0"/>
        <w:widowControl w:val="0"/>
        <w:kinsoku/>
        <w:wordWrap/>
        <w:overflowPunct/>
        <w:topLinePunct w:val="0"/>
        <w:autoSpaceDE/>
        <w:autoSpaceDN/>
        <w:bidi w:val="0"/>
        <w:adjustRightInd/>
        <w:snapToGrid w:val="0"/>
        <w:spacing w:line="360" w:lineRule="auto"/>
        <w:ind w:firstLine="480" w:firstLineChars="200"/>
        <w:jc w:val="left"/>
        <w:textAlignment w:val="auto"/>
        <w:rPr>
          <w:rFonts w:hint="eastAsia" w:ascii="仿宋" w:hAnsi="仿宋" w:eastAsia="仿宋" w:cs="仿宋"/>
          <w:bCs/>
          <w:snapToGrid w:val="0"/>
          <w:color w:val="auto"/>
          <w:kern w:val="0"/>
          <w:sz w:val="24"/>
          <w:szCs w:val="24"/>
          <w:highlight w:val="none"/>
          <w:lang w:val="en-US" w:eastAsia="zh-CN"/>
        </w:rPr>
      </w:pPr>
      <w:r>
        <w:rPr>
          <w:rFonts w:hint="eastAsia" w:ascii="仿宋" w:hAnsi="仿宋" w:eastAsia="仿宋" w:cs="仿宋"/>
          <w:bCs/>
          <w:snapToGrid w:val="0"/>
          <w:color w:val="auto"/>
          <w:kern w:val="0"/>
          <w:sz w:val="24"/>
          <w:szCs w:val="24"/>
          <w:highlight w:val="none"/>
          <w:lang w:val="en-US" w:eastAsia="zh-CN"/>
        </w:rPr>
        <w:t>（5）本项目采用全流程电子化采购方式，潜在供应商须办理CA数字证书（以下简称CA），CA用于电子响应文件的签章及上传（上传响应文件需使用CA进行加密）；CA办理详见《关于优质采平台数字证书办理的须知》（http://www.youzhicai.com/nd/a_8f80a7ec-911f-4c4d-123-f8849880f045. html）；咨询热线：400-0099-555。</w:t>
      </w:r>
    </w:p>
    <w:p w14:paraId="73D0BB09">
      <w:r>
        <w:rPr>
          <w:rFonts w:hint="eastAsia" w:ascii="仿宋" w:hAnsi="仿宋" w:eastAsia="仿宋" w:cs="仿宋"/>
          <w:bCs/>
          <w:snapToGrid w:val="0"/>
          <w:color w:val="auto"/>
          <w:kern w:val="0"/>
          <w:sz w:val="24"/>
          <w:szCs w:val="24"/>
          <w:highlight w:val="none"/>
          <w:lang w:val="en-US" w:eastAsia="zh-CN"/>
        </w:rPr>
        <w:t>（6）电子响应文件必须使用“优质采投标文件制作工具”制作生成并上传。“优质采投标工具客户端”下载地址：http://toolcdn.youzhicai.com/tools/BidderTools.zip；“优质采投标工具客户端”使用说明书及视频教程下载地址：http://file.youzhicai.com/files/BidderHelp.rar。</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64BEAB"/>
    <w:multiLevelType w:val="singleLevel"/>
    <w:tmpl w:val="5F64BEAB"/>
    <w:lvl w:ilvl="0" w:tentative="0">
      <w:start w:val="7"/>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219000E"/>
    <w:rsid w:val="21C537FA"/>
    <w:rsid w:val="57470E82"/>
    <w:rsid w:val="5EF14BC8"/>
    <w:rsid w:val="721900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2"/>
    <w:basedOn w:val="1"/>
    <w:next w:val="1"/>
    <w:qFormat/>
    <w:uiPriority w:val="0"/>
    <w:pPr>
      <w:keepNext/>
      <w:keepLines/>
      <w:spacing w:before="260" w:after="260" w:line="416" w:lineRule="auto"/>
      <w:outlineLvl w:val="1"/>
    </w:pPr>
    <w:rPr>
      <w:rFonts w:ascii="Cambria" w:hAnsi="Cambria"/>
      <w:b/>
      <w:bCs/>
      <w:sz w:val="32"/>
      <w:szCs w:val="32"/>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qFormat/>
    <w:uiPriority w:val="99"/>
    <w:pPr>
      <w:spacing w:after="120"/>
      <w:ind w:left="420" w:leftChars="200" w:firstLine="420" w:firstLineChars="200"/>
    </w:pPr>
    <w:rPr>
      <w:rFonts w:ascii="宋体"/>
      <w:color w:val="000000"/>
    </w:rPr>
  </w:style>
  <w:style w:type="paragraph" w:styleId="3">
    <w:name w:val="Body Text Indent"/>
    <w:basedOn w:val="1"/>
    <w:next w:val="4"/>
    <w:uiPriority w:val="0"/>
    <w:pPr>
      <w:ind w:firstLine="560" w:firstLineChars="200"/>
    </w:pPr>
    <w:rPr>
      <w:rFonts w:ascii="宋体" w:hAnsi="宋体"/>
      <w:bCs/>
      <w:sz w:val="28"/>
      <w:szCs w:val="32"/>
    </w:rPr>
  </w:style>
  <w:style w:type="paragraph" w:customStyle="1" w:styleId="4">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华文细黑" w:hAnsi="华文细黑" w:eastAsia="华文细黑" w:cs="宋体"/>
      <w:b/>
      <w:bCs/>
      <w:color w:val="000000"/>
      <w:kern w:val="0"/>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2407</Words>
  <Characters>3021</Characters>
  <Lines>0</Lines>
  <Paragraphs>0</Paragraphs>
  <TotalTime>61</TotalTime>
  <ScaleCrop>false</ScaleCrop>
  <LinksUpToDate>false</LinksUpToDate>
  <CharactersWithSpaces>3103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2026-08-28T04:41:00Z</dcterms:created>
  <dc:creator>省招-申啊康</dc:creator>
  <cp:lastModifiedBy>橘生淮南则为橘</cp:lastModifiedBy>
  <dcterms:modified xsi:type="dcterms:W3CDTF">2026-08-31T04:18:36Z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337B8C70716F4AB5A3A82D5FB5247115_13</vt:lpwstr>
  </property>
  <property fmtid="{D5CDD505-2E9C-101B-9397-08002B2CF9AE}" pid="4" name="KSOTemplateDocerSaveRecord">
    <vt:lpwstr>eyJoZGlkIjoiODA0ZTA2MjU5YTIzNzg2MDRlNmQ0ODljYjBiNGIwMTgiLCJ1c2VySWQiOiI1OTIxNjA2ODAifQ==</vt:lpwstr>
  </property>
</Properties>
</file>