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DF8085">
      <w:pPr>
        <w:rPr>
          <w:rFonts w:hint="eastAsia"/>
        </w:rPr>
      </w:pPr>
    </w:p>
    <w:p w14:paraId="220708C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32" w:lineRule="atLeast"/>
        <w:ind w:left="0" w:right="0" w:firstLine="0"/>
        <w:jc w:val="center"/>
        <w:rPr>
          <w:rFonts w:ascii="微软雅黑" w:hAnsi="微软雅黑" w:eastAsia="微软雅黑" w:cs="微软雅黑"/>
          <w:i w:val="0"/>
          <w:iCs w:val="0"/>
          <w:caps w:val="0"/>
          <w:color w:val="auto"/>
          <w:spacing w:val="0"/>
          <w:sz w:val="36"/>
          <w:szCs w:val="36"/>
        </w:rPr>
      </w:pPr>
      <w:r>
        <w:rPr>
          <w:rFonts w:hint="eastAsia" w:ascii="微软雅黑" w:hAnsi="微软雅黑" w:eastAsia="微软雅黑" w:cs="微软雅黑"/>
          <w:i w:val="0"/>
          <w:iCs w:val="0"/>
          <w:caps w:val="0"/>
          <w:color w:val="auto"/>
          <w:spacing w:val="0"/>
          <w:sz w:val="36"/>
          <w:szCs w:val="36"/>
          <w:bdr w:val="none" w:color="auto" w:sz="0" w:space="0"/>
          <w:shd w:val="clear" w:fill="FFFFFF"/>
        </w:rPr>
        <w:t>合力工业车辆（盘锦）有限公司物流运输服务项目招标公告</w:t>
      </w:r>
      <w:bookmarkStart w:id="0" w:name="_GoBack"/>
      <w:bookmarkEnd w:id="0"/>
    </w:p>
    <w:p w14:paraId="35AACD0E">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i w:val="0"/>
          <w:iCs w:val="0"/>
          <w:caps w:val="0"/>
          <w:color w:val="B9B9B9"/>
          <w:spacing w:val="0"/>
          <w:sz w:val="21"/>
          <w:szCs w:val="21"/>
        </w:rPr>
      </w:pPr>
      <w:r>
        <w:rPr>
          <w:rFonts w:hint="eastAsia" w:ascii="微软雅黑" w:hAnsi="微软雅黑" w:eastAsia="微软雅黑" w:cs="微软雅黑"/>
          <w:i w:val="0"/>
          <w:iCs w:val="0"/>
          <w:caps w:val="0"/>
          <w:color w:val="B9B9B9"/>
          <w:spacing w:val="0"/>
          <w:sz w:val="21"/>
          <w:szCs w:val="21"/>
          <w:bdr w:val="none" w:color="auto" w:sz="0" w:space="0"/>
          <w:shd w:val="clear" w:fill="FFFFFF"/>
        </w:rPr>
        <w:t>发布时间：2026年08月19日</w:t>
      </w:r>
    </w:p>
    <w:p w14:paraId="6937DB2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firstLine="384"/>
        <w:rPr>
          <w:rFonts w:ascii="仿宋" w:hAnsi="仿宋" w:eastAsia="仿宋" w:cs="仿宋"/>
          <w:sz w:val="24"/>
          <w:szCs w:val="24"/>
          <w:bdr w:val="none" w:color="auto" w:sz="0" w:space="0"/>
        </w:rPr>
      </w:pPr>
    </w:p>
    <w:p w14:paraId="1F2A991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firstLine="384"/>
        <w:rPr>
          <w:rFonts w:ascii="微软雅黑" w:hAnsi="微软雅黑" w:eastAsia="微软雅黑" w:cs="微软雅黑"/>
        </w:rPr>
      </w:pPr>
      <w:r>
        <w:rPr>
          <w:rFonts w:ascii="仿宋" w:hAnsi="仿宋" w:eastAsia="仿宋" w:cs="仿宋"/>
          <w:sz w:val="24"/>
          <w:szCs w:val="24"/>
          <w:bdr w:val="none" w:color="auto" w:sz="0" w:space="0"/>
        </w:rPr>
        <w:t>安徽安天利信工程管理股份有限公司受</w:t>
      </w:r>
      <w:r>
        <w:rPr>
          <w:rFonts w:hint="eastAsia" w:ascii="仿宋" w:hAnsi="仿宋" w:eastAsia="仿宋" w:cs="仿宋"/>
          <w:sz w:val="24"/>
          <w:szCs w:val="24"/>
          <w:bdr w:val="none" w:color="auto" w:sz="0" w:space="0"/>
        </w:rPr>
        <w:t>合力工业车辆（盘锦）有限公司委托，现对合力工业车辆（盘锦）有限公司物流运输服务项目进行国内公开招标，欢迎具备条件的国内投标人参加。</w:t>
      </w:r>
    </w:p>
    <w:p w14:paraId="5F8A2A4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rPr>
          <w:rFonts w:hint="eastAsia" w:ascii="微软雅黑" w:hAnsi="微软雅黑" w:eastAsia="微软雅黑" w:cs="微软雅黑"/>
        </w:rPr>
      </w:pPr>
      <w:r>
        <w:rPr>
          <w:rStyle w:val="7"/>
          <w:rFonts w:hint="eastAsia" w:ascii="仿宋" w:hAnsi="仿宋" w:eastAsia="仿宋" w:cs="仿宋"/>
          <w:b/>
          <w:sz w:val="31"/>
          <w:szCs w:val="31"/>
          <w:bdr w:val="none" w:color="auto" w:sz="0" w:space="0"/>
        </w:rPr>
        <w:t>1.招标条件</w:t>
      </w:r>
    </w:p>
    <w:p w14:paraId="71484D2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firstLine="384"/>
        <w:rPr>
          <w:rFonts w:hint="eastAsia" w:ascii="微软雅黑" w:hAnsi="微软雅黑" w:eastAsia="微软雅黑" w:cs="微软雅黑"/>
        </w:rPr>
      </w:pPr>
      <w:r>
        <w:rPr>
          <w:rFonts w:hint="eastAsia" w:ascii="仿宋" w:hAnsi="仿宋" w:eastAsia="仿宋" w:cs="仿宋"/>
          <w:sz w:val="24"/>
          <w:szCs w:val="24"/>
          <w:bdr w:val="none" w:color="auto" w:sz="0" w:space="0"/>
        </w:rPr>
        <w:t>1.1 招标人：01包：北京北方合力叉车有限公司；02包：河北合力叉车有限公司；</w:t>
      </w:r>
    </w:p>
    <w:p w14:paraId="6B93274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firstLine="384"/>
        <w:rPr>
          <w:rFonts w:hint="eastAsia" w:ascii="微软雅黑" w:hAnsi="微软雅黑" w:eastAsia="微软雅黑" w:cs="微软雅黑"/>
        </w:rPr>
      </w:pPr>
      <w:r>
        <w:rPr>
          <w:rFonts w:hint="eastAsia" w:ascii="仿宋" w:hAnsi="仿宋" w:eastAsia="仿宋" w:cs="仿宋"/>
          <w:sz w:val="24"/>
          <w:szCs w:val="24"/>
          <w:bdr w:val="none" w:color="auto" w:sz="0" w:space="0"/>
        </w:rPr>
        <w:t>03包：山东合力叉车销售有限公司；04包：天津北方合力叉车有限公司</w:t>
      </w:r>
    </w:p>
    <w:p w14:paraId="6DA0BFB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firstLine="384"/>
        <w:rPr>
          <w:rFonts w:hint="eastAsia" w:ascii="微软雅黑" w:hAnsi="微软雅黑" w:eastAsia="微软雅黑" w:cs="微软雅黑"/>
        </w:rPr>
      </w:pPr>
      <w:r>
        <w:rPr>
          <w:rFonts w:hint="eastAsia" w:ascii="仿宋" w:hAnsi="仿宋" w:eastAsia="仿宋" w:cs="仿宋"/>
          <w:sz w:val="24"/>
          <w:szCs w:val="24"/>
          <w:bdr w:val="none" w:color="auto" w:sz="0" w:space="0"/>
        </w:rPr>
        <w:t>1.2 招标代理机构：安徽安天利信工程管理股份有限公司</w:t>
      </w:r>
    </w:p>
    <w:p w14:paraId="31D8A70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firstLine="384"/>
        <w:rPr>
          <w:rFonts w:hint="eastAsia" w:ascii="微软雅黑" w:hAnsi="微软雅黑" w:eastAsia="微软雅黑" w:cs="微软雅黑"/>
        </w:rPr>
      </w:pPr>
      <w:r>
        <w:rPr>
          <w:rFonts w:hint="eastAsia" w:ascii="仿宋" w:hAnsi="仿宋" w:eastAsia="仿宋" w:cs="仿宋"/>
          <w:sz w:val="24"/>
          <w:szCs w:val="24"/>
          <w:bdr w:val="none" w:color="auto" w:sz="0" w:space="0"/>
        </w:rPr>
        <w:t>1.3项目名称：合力工业车辆（盘锦）有限公司物流运输服务项目</w:t>
      </w:r>
    </w:p>
    <w:p w14:paraId="33B155C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firstLine="384"/>
        <w:rPr>
          <w:rFonts w:hint="eastAsia" w:ascii="微软雅黑" w:hAnsi="微软雅黑" w:eastAsia="微软雅黑" w:cs="微软雅黑"/>
        </w:rPr>
      </w:pPr>
      <w:r>
        <w:rPr>
          <w:rFonts w:hint="eastAsia" w:ascii="仿宋" w:hAnsi="仿宋" w:eastAsia="仿宋" w:cs="仿宋"/>
          <w:sz w:val="24"/>
          <w:szCs w:val="24"/>
          <w:bdr w:val="none" w:color="auto" w:sz="0" w:space="0"/>
        </w:rPr>
        <w:t>1.4 资金来源：自筹资金</w:t>
      </w:r>
    </w:p>
    <w:p w14:paraId="2393356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firstLine="384"/>
        <w:rPr>
          <w:rFonts w:hint="eastAsia" w:ascii="微软雅黑" w:hAnsi="微软雅黑" w:eastAsia="微软雅黑" w:cs="微软雅黑"/>
        </w:rPr>
      </w:pPr>
      <w:r>
        <w:rPr>
          <w:rFonts w:hint="eastAsia" w:ascii="仿宋" w:hAnsi="仿宋" w:eastAsia="仿宋" w:cs="仿宋"/>
          <w:sz w:val="24"/>
          <w:szCs w:val="24"/>
          <w:bdr w:val="none" w:color="auto" w:sz="0" w:space="0"/>
        </w:rPr>
        <w:t>1.5 项目出资比例：100%</w:t>
      </w:r>
    </w:p>
    <w:p w14:paraId="0E59796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firstLine="384"/>
        <w:rPr>
          <w:rFonts w:hint="eastAsia" w:ascii="微软雅黑" w:hAnsi="微软雅黑" w:eastAsia="微软雅黑" w:cs="微软雅黑"/>
        </w:rPr>
      </w:pPr>
      <w:r>
        <w:rPr>
          <w:rFonts w:hint="eastAsia" w:ascii="仿宋" w:hAnsi="仿宋" w:eastAsia="仿宋" w:cs="仿宋"/>
          <w:sz w:val="24"/>
          <w:szCs w:val="24"/>
          <w:bdr w:val="none" w:color="auto" w:sz="0" w:space="0"/>
        </w:rPr>
        <w:t>1.6 资金落实情况：已落实</w:t>
      </w:r>
    </w:p>
    <w:p w14:paraId="46177BF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rPr>
          <w:rFonts w:hint="eastAsia" w:ascii="微软雅黑" w:hAnsi="微软雅黑" w:eastAsia="微软雅黑" w:cs="微软雅黑"/>
        </w:rPr>
      </w:pPr>
      <w:r>
        <w:rPr>
          <w:rStyle w:val="7"/>
          <w:rFonts w:hint="eastAsia" w:ascii="仿宋" w:hAnsi="仿宋" w:eastAsia="仿宋" w:cs="仿宋"/>
          <w:b/>
          <w:sz w:val="31"/>
          <w:szCs w:val="31"/>
          <w:bdr w:val="none" w:color="auto" w:sz="0" w:space="0"/>
        </w:rPr>
        <w:t>2.项目概况与招标范围</w:t>
      </w:r>
    </w:p>
    <w:p w14:paraId="3C0344F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firstLine="384"/>
        <w:rPr>
          <w:rFonts w:hint="eastAsia" w:ascii="微软雅黑" w:hAnsi="微软雅黑" w:eastAsia="微软雅黑" w:cs="微软雅黑"/>
        </w:rPr>
      </w:pPr>
      <w:r>
        <w:rPr>
          <w:rFonts w:hint="eastAsia" w:ascii="仿宋" w:hAnsi="仿宋" w:eastAsia="仿宋" w:cs="仿宋"/>
          <w:sz w:val="24"/>
          <w:szCs w:val="24"/>
          <w:bdr w:val="none" w:color="auto" w:sz="0" w:space="0"/>
        </w:rPr>
        <w:t>2.1招标项目编号：26AT47046706201</w:t>
      </w:r>
    </w:p>
    <w:p w14:paraId="278DA1C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firstLine="384"/>
        <w:rPr>
          <w:rFonts w:hint="eastAsia" w:ascii="微软雅黑" w:hAnsi="微软雅黑" w:eastAsia="微软雅黑" w:cs="微软雅黑"/>
        </w:rPr>
      </w:pPr>
      <w:r>
        <w:rPr>
          <w:rFonts w:hint="eastAsia" w:ascii="仿宋" w:hAnsi="仿宋" w:eastAsia="仿宋" w:cs="仿宋"/>
          <w:sz w:val="24"/>
          <w:szCs w:val="24"/>
          <w:bdr w:val="none" w:color="auto" w:sz="0" w:space="0"/>
        </w:rPr>
        <w:t>2.2 标包划分：4个</w:t>
      </w:r>
    </w:p>
    <w:p w14:paraId="3DD3245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firstLine="384"/>
        <w:rPr>
          <w:rFonts w:hint="eastAsia" w:ascii="微软雅黑" w:hAnsi="微软雅黑" w:eastAsia="微软雅黑" w:cs="微软雅黑"/>
        </w:rPr>
      </w:pPr>
      <w:r>
        <w:rPr>
          <w:rFonts w:hint="eastAsia" w:ascii="仿宋" w:hAnsi="仿宋" w:eastAsia="仿宋" w:cs="仿宋"/>
          <w:sz w:val="24"/>
          <w:szCs w:val="24"/>
          <w:bdr w:val="none" w:color="auto" w:sz="0" w:space="0"/>
        </w:rPr>
        <w:t>2.3招标范围：合力工业车辆（盘锦）有限公司物流运输服务项目，物流运输服务内容包含货物的装运、保险等相关内容。</w:t>
      </w:r>
    </w:p>
    <w:tbl>
      <w:tblPr>
        <w:tblW w:w="0"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tblLayout w:type="autofit"/>
        <w:tblCellMar>
          <w:top w:w="0" w:type="dxa"/>
          <w:left w:w="0" w:type="dxa"/>
          <w:bottom w:w="0" w:type="dxa"/>
          <w:right w:w="0" w:type="dxa"/>
        </w:tblCellMar>
      </w:tblPr>
      <w:tblGrid>
        <w:gridCol w:w="529"/>
        <w:gridCol w:w="1778"/>
        <w:gridCol w:w="1279"/>
        <w:gridCol w:w="2236"/>
        <w:gridCol w:w="2514"/>
      </w:tblGrid>
      <w:tr w14:paraId="3DE892D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396" w:hRule="atLeast"/>
        </w:trPr>
        <w:tc>
          <w:tcPr>
            <w:tcW w:w="57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14:paraId="67E0C50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center"/>
              <w:rPr>
                <w:rFonts w:hint="eastAsia" w:ascii="微软雅黑" w:hAnsi="微软雅黑" w:eastAsia="微软雅黑" w:cs="微软雅黑"/>
              </w:rPr>
            </w:pPr>
            <w:r>
              <w:rPr>
                <w:rFonts w:hint="eastAsia" w:ascii="仿宋" w:hAnsi="仿宋" w:eastAsia="仿宋" w:cs="仿宋"/>
                <w:sz w:val="24"/>
                <w:szCs w:val="24"/>
                <w:bdr w:val="none" w:color="auto" w:sz="0" w:space="0"/>
              </w:rPr>
              <w:t>包号</w:t>
            </w:r>
          </w:p>
        </w:tc>
        <w:tc>
          <w:tcPr>
            <w:tcW w:w="1920" w:type="dxa"/>
            <w:tcBorders>
              <w:top w:val="single" w:color="auto" w:sz="4" w:space="0"/>
              <w:left w:val="nil"/>
              <w:bottom w:val="single" w:color="auto" w:sz="4" w:space="0"/>
              <w:right w:val="single" w:color="auto" w:sz="4" w:space="0"/>
            </w:tcBorders>
            <w:shd w:val="clear"/>
            <w:noWrap/>
            <w:tcMar>
              <w:top w:w="15" w:type="dxa"/>
              <w:left w:w="15" w:type="dxa"/>
              <w:right w:w="15" w:type="dxa"/>
            </w:tcMar>
            <w:vAlign w:val="center"/>
          </w:tcPr>
          <w:p w14:paraId="3B374DC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center"/>
              <w:rPr>
                <w:rFonts w:hint="eastAsia" w:ascii="微软雅黑" w:hAnsi="微软雅黑" w:eastAsia="微软雅黑" w:cs="微软雅黑"/>
              </w:rPr>
            </w:pPr>
            <w:r>
              <w:rPr>
                <w:rFonts w:hint="eastAsia" w:ascii="仿宋" w:hAnsi="仿宋" w:eastAsia="仿宋" w:cs="仿宋"/>
                <w:sz w:val="24"/>
                <w:szCs w:val="24"/>
                <w:bdr w:val="none" w:color="auto" w:sz="0" w:space="0"/>
              </w:rPr>
              <w:t>运输区间</w:t>
            </w:r>
          </w:p>
        </w:tc>
        <w:tc>
          <w:tcPr>
            <w:tcW w:w="1380" w:type="dxa"/>
            <w:tcBorders>
              <w:top w:val="single" w:color="auto" w:sz="4" w:space="0"/>
              <w:left w:val="nil"/>
              <w:bottom w:val="single" w:color="auto" w:sz="4" w:space="0"/>
              <w:right w:val="single" w:color="auto" w:sz="4" w:space="0"/>
            </w:tcBorders>
            <w:shd w:val="clear"/>
            <w:noWrap/>
            <w:tcMar>
              <w:top w:w="15" w:type="dxa"/>
              <w:left w:w="15" w:type="dxa"/>
              <w:right w:w="15" w:type="dxa"/>
            </w:tcMar>
            <w:vAlign w:val="center"/>
          </w:tcPr>
          <w:p w14:paraId="5CBD02D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center"/>
              <w:rPr>
                <w:rFonts w:hint="eastAsia" w:ascii="微软雅黑" w:hAnsi="微软雅黑" w:eastAsia="微软雅黑" w:cs="微软雅黑"/>
              </w:rPr>
            </w:pPr>
            <w:r>
              <w:rPr>
                <w:rFonts w:hint="eastAsia" w:ascii="仿宋" w:hAnsi="仿宋" w:eastAsia="仿宋" w:cs="仿宋"/>
                <w:sz w:val="24"/>
                <w:szCs w:val="24"/>
                <w:bdr w:val="none" w:color="auto" w:sz="0" w:space="0"/>
              </w:rPr>
              <w:t>运输物资</w:t>
            </w:r>
          </w:p>
        </w:tc>
        <w:tc>
          <w:tcPr>
            <w:tcW w:w="2415" w:type="dxa"/>
            <w:tcBorders>
              <w:top w:val="single" w:color="auto" w:sz="4" w:space="0"/>
              <w:left w:val="nil"/>
              <w:bottom w:val="single" w:color="auto" w:sz="4" w:space="0"/>
              <w:right w:val="single" w:color="auto" w:sz="4" w:space="0"/>
            </w:tcBorders>
            <w:shd w:val="clear"/>
            <w:noWrap/>
            <w:tcMar>
              <w:top w:w="15" w:type="dxa"/>
              <w:left w:w="15" w:type="dxa"/>
              <w:right w:w="15" w:type="dxa"/>
            </w:tcMar>
            <w:vAlign w:val="center"/>
          </w:tcPr>
          <w:p w14:paraId="6C3C536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center"/>
              <w:rPr>
                <w:rFonts w:hint="eastAsia" w:ascii="微软雅黑" w:hAnsi="微软雅黑" w:eastAsia="微软雅黑" w:cs="微软雅黑"/>
              </w:rPr>
            </w:pPr>
            <w:r>
              <w:rPr>
                <w:rFonts w:hint="eastAsia" w:ascii="仿宋" w:hAnsi="仿宋" w:eastAsia="仿宋" w:cs="仿宋"/>
                <w:sz w:val="24"/>
                <w:szCs w:val="24"/>
                <w:bdr w:val="none" w:color="auto" w:sz="0" w:space="0"/>
              </w:rPr>
              <w:t>运输时效</w:t>
            </w:r>
          </w:p>
        </w:tc>
        <w:tc>
          <w:tcPr>
            <w:tcW w:w="2715" w:type="dxa"/>
            <w:tcBorders>
              <w:top w:val="single" w:color="auto" w:sz="4" w:space="0"/>
              <w:left w:val="nil"/>
              <w:bottom w:val="single" w:color="auto" w:sz="4" w:space="0"/>
              <w:right w:val="single" w:color="auto" w:sz="4" w:space="0"/>
            </w:tcBorders>
            <w:shd w:val="clear"/>
            <w:noWrap/>
            <w:tcMar>
              <w:top w:w="15" w:type="dxa"/>
              <w:left w:w="15" w:type="dxa"/>
              <w:right w:w="15" w:type="dxa"/>
            </w:tcMar>
            <w:vAlign w:val="center"/>
          </w:tcPr>
          <w:p w14:paraId="2285E19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center"/>
              <w:rPr>
                <w:rFonts w:hint="eastAsia" w:ascii="微软雅黑" w:hAnsi="微软雅黑" w:eastAsia="微软雅黑" w:cs="微软雅黑"/>
              </w:rPr>
            </w:pPr>
            <w:r>
              <w:rPr>
                <w:rFonts w:hint="eastAsia" w:ascii="仿宋" w:hAnsi="仿宋" w:eastAsia="仿宋" w:cs="仿宋"/>
                <w:sz w:val="24"/>
                <w:szCs w:val="24"/>
                <w:bdr w:val="none" w:color="auto" w:sz="0" w:space="0"/>
              </w:rPr>
              <w:t>备注</w:t>
            </w:r>
          </w:p>
        </w:tc>
      </w:tr>
      <w:tr w14:paraId="22BF5F4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tblCellMar>
            <w:top w:w="0" w:type="dxa"/>
            <w:left w:w="0" w:type="dxa"/>
            <w:bottom w:w="0" w:type="dxa"/>
            <w:right w:w="0" w:type="dxa"/>
          </w:tblCellMar>
        </w:tblPrEx>
        <w:trPr>
          <w:trHeight w:val="696" w:hRule="atLeast"/>
        </w:trPr>
        <w:tc>
          <w:tcPr>
            <w:tcW w:w="570" w:type="dxa"/>
            <w:tcBorders>
              <w:top w:val="nil"/>
              <w:left w:val="single" w:color="auto" w:sz="4" w:space="0"/>
              <w:bottom w:val="single" w:color="auto" w:sz="4" w:space="0"/>
              <w:right w:val="single" w:color="auto" w:sz="4" w:space="0"/>
            </w:tcBorders>
            <w:shd w:val="clear"/>
            <w:noWrap/>
            <w:tcMar>
              <w:top w:w="15" w:type="dxa"/>
              <w:left w:w="15" w:type="dxa"/>
              <w:right w:w="15" w:type="dxa"/>
            </w:tcMar>
            <w:vAlign w:val="center"/>
          </w:tcPr>
          <w:p w14:paraId="3CD7DB5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center"/>
              <w:rPr>
                <w:rFonts w:hint="eastAsia" w:ascii="微软雅黑" w:hAnsi="微软雅黑" w:eastAsia="微软雅黑" w:cs="微软雅黑"/>
              </w:rPr>
            </w:pPr>
            <w:r>
              <w:rPr>
                <w:rFonts w:hint="eastAsia" w:ascii="仿宋" w:hAnsi="仿宋" w:eastAsia="仿宋" w:cs="仿宋"/>
                <w:sz w:val="24"/>
                <w:szCs w:val="24"/>
                <w:bdr w:val="none" w:color="auto" w:sz="0" w:space="0"/>
              </w:rPr>
              <w:t>01</w:t>
            </w:r>
          </w:p>
        </w:tc>
        <w:tc>
          <w:tcPr>
            <w:tcW w:w="1920" w:type="dxa"/>
            <w:tcBorders>
              <w:top w:val="nil"/>
              <w:left w:val="nil"/>
              <w:bottom w:val="single" w:color="auto" w:sz="4" w:space="0"/>
              <w:right w:val="single" w:color="auto" w:sz="4" w:space="0"/>
            </w:tcBorders>
            <w:shd w:val="clear"/>
            <w:noWrap/>
            <w:tcMar>
              <w:top w:w="15" w:type="dxa"/>
              <w:left w:w="15" w:type="dxa"/>
              <w:right w:w="15" w:type="dxa"/>
            </w:tcMar>
            <w:vAlign w:val="center"/>
          </w:tcPr>
          <w:p w14:paraId="4A4FF81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center"/>
              <w:rPr>
                <w:rFonts w:hint="eastAsia" w:ascii="微软雅黑" w:hAnsi="微软雅黑" w:eastAsia="微软雅黑" w:cs="微软雅黑"/>
              </w:rPr>
            </w:pPr>
            <w:r>
              <w:rPr>
                <w:rFonts w:hint="eastAsia" w:ascii="仿宋" w:hAnsi="仿宋" w:eastAsia="仿宋" w:cs="仿宋"/>
                <w:sz w:val="24"/>
                <w:szCs w:val="24"/>
                <w:bdr w:val="none" w:color="auto" w:sz="0" w:space="0"/>
              </w:rPr>
              <w:t>盘锦-北京地区</w:t>
            </w:r>
          </w:p>
        </w:tc>
        <w:tc>
          <w:tcPr>
            <w:tcW w:w="1380" w:type="dxa"/>
            <w:tcBorders>
              <w:top w:val="nil"/>
              <w:left w:val="nil"/>
              <w:bottom w:val="single" w:color="auto" w:sz="4" w:space="0"/>
              <w:right w:val="single" w:color="auto" w:sz="4" w:space="0"/>
            </w:tcBorders>
            <w:shd w:val="clear"/>
            <w:noWrap/>
            <w:tcMar>
              <w:top w:w="15" w:type="dxa"/>
              <w:left w:w="15" w:type="dxa"/>
              <w:right w:w="15" w:type="dxa"/>
            </w:tcMar>
            <w:vAlign w:val="center"/>
          </w:tcPr>
          <w:p w14:paraId="71E742E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center"/>
              <w:rPr>
                <w:rFonts w:hint="eastAsia" w:ascii="微软雅黑" w:hAnsi="微软雅黑" w:eastAsia="微软雅黑" w:cs="微软雅黑"/>
              </w:rPr>
            </w:pPr>
            <w:r>
              <w:rPr>
                <w:rFonts w:hint="eastAsia" w:ascii="仿宋" w:hAnsi="仿宋" w:eastAsia="仿宋" w:cs="仿宋"/>
                <w:sz w:val="24"/>
                <w:szCs w:val="24"/>
                <w:bdr w:val="none" w:color="auto" w:sz="0" w:space="0"/>
              </w:rPr>
              <w:t>叉车运输</w:t>
            </w:r>
          </w:p>
        </w:tc>
        <w:tc>
          <w:tcPr>
            <w:tcW w:w="2415" w:type="dxa"/>
            <w:vMerge w:val="restart"/>
            <w:tcBorders>
              <w:top w:val="nil"/>
              <w:left w:val="nil"/>
              <w:bottom w:val="nil"/>
              <w:right w:val="single" w:color="auto" w:sz="4" w:space="0"/>
            </w:tcBorders>
            <w:shd w:val="clear"/>
            <w:noWrap/>
            <w:tcMar>
              <w:top w:w="15" w:type="dxa"/>
              <w:left w:w="15" w:type="dxa"/>
              <w:right w:w="15" w:type="dxa"/>
            </w:tcMar>
            <w:vAlign w:val="center"/>
          </w:tcPr>
          <w:p w14:paraId="1F6AD91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center"/>
              <w:rPr>
                <w:rFonts w:hint="eastAsia" w:ascii="微软雅黑" w:hAnsi="微软雅黑" w:eastAsia="微软雅黑" w:cs="微软雅黑"/>
              </w:rPr>
            </w:pPr>
            <w:r>
              <w:rPr>
                <w:rFonts w:hint="eastAsia" w:ascii="仿宋" w:hAnsi="仿宋" w:eastAsia="仿宋" w:cs="仿宋"/>
                <w:sz w:val="24"/>
                <w:szCs w:val="24"/>
                <w:bdr w:val="none" w:color="auto" w:sz="0" w:space="0"/>
              </w:rPr>
              <w:t>详见招标文件</w:t>
            </w:r>
          </w:p>
        </w:tc>
        <w:tc>
          <w:tcPr>
            <w:tcW w:w="2715" w:type="dxa"/>
            <w:vMerge w:val="restart"/>
            <w:tcBorders>
              <w:top w:val="nil"/>
              <w:left w:val="nil"/>
              <w:bottom w:val="nil"/>
              <w:right w:val="single" w:color="auto" w:sz="4" w:space="0"/>
            </w:tcBorders>
            <w:shd w:val="clear"/>
            <w:noWrap/>
            <w:tcMar>
              <w:top w:w="15" w:type="dxa"/>
              <w:left w:w="15" w:type="dxa"/>
              <w:right w:w="15" w:type="dxa"/>
            </w:tcMar>
            <w:vAlign w:val="center"/>
          </w:tcPr>
          <w:p w14:paraId="1B145E7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center"/>
              <w:rPr>
                <w:rFonts w:hint="eastAsia" w:ascii="微软雅黑" w:hAnsi="微软雅黑" w:eastAsia="微软雅黑" w:cs="微软雅黑"/>
              </w:rPr>
            </w:pPr>
            <w:r>
              <w:rPr>
                <w:rFonts w:hint="eastAsia" w:ascii="仿宋" w:hAnsi="仿宋" w:eastAsia="仿宋" w:cs="仿宋"/>
                <w:sz w:val="24"/>
                <w:szCs w:val="24"/>
                <w:bdr w:val="none" w:color="auto" w:sz="0" w:space="0"/>
              </w:rPr>
              <w:t>预计年发运台数详见招标文件开标一览表</w:t>
            </w:r>
          </w:p>
        </w:tc>
      </w:tr>
      <w:tr w14:paraId="2EE98E8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72" w:hRule="atLeast"/>
        </w:trPr>
        <w:tc>
          <w:tcPr>
            <w:tcW w:w="570" w:type="dxa"/>
            <w:tcBorders>
              <w:top w:val="nil"/>
              <w:left w:val="single" w:color="auto" w:sz="4" w:space="0"/>
              <w:bottom w:val="single" w:color="auto" w:sz="4" w:space="0"/>
              <w:right w:val="single" w:color="auto" w:sz="4" w:space="0"/>
            </w:tcBorders>
            <w:shd w:val="clear"/>
            <w:noWrap/>
            <w:tcMar>
              <w:top w:w="15" w:type="dxa"/>
              <w:left w:w="15" w:type="dxa"/>
              <w:right w:w="15" w:type="dxa"/>
            </w:tcMar>
            <w:vAlign w:val="center"/>
          </w:tcPr>
          <w:p w14:paraId="00D327F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center"/>
              <w:rPr>
                <w:rFonts w:hint="eastAsia" w:ascii="微软雅黑" w:hAnsi="微软雅黑" w:eastAsia="微软雅黑" w:cs="微软雅黑"/>
              </w:rPr>
            </w:pPr>
            <w:r>
              <w:rPr>
                <w:rFonts w:hint="eastAsia" w:ascii="仿宋" w:hAnsi="仿宋" w:eastAsia="仿宋" w:cs="仿宋"/>
                <w:sz w:val="24"/>
                <w:szCs w:val="24"/>
                <w:bdr w:val="none" w:color="auto" w:sz="0" w:space="0"/>
              </w:rPr>
              <w:t>02</w:t>
            </w:r>
          </w:p>
        </w:tc>
        <w:tc>
          <w:tcPr>
            <w:tcW w:w="1920" w:type="dxa"/>
            <w:tcBorders>
              <w:top w:val="nil"/>
              <w:left w:val="nil"/>
              <w:bottom w:val="single" w:color="auto" w:sz="4" w:space="0"/>
              <w:right w:val="single" w:color="auto" w:sz="4" w:space="0"/>
            </w:tcBorders>
            <w:shd w:val="clear"/>
            <w:noWrap/>
            <w:tcMar>
              <w:top w:w="15" w:type="dxa"/>
              <w:left w:w="15" w:type="dxa"/>
              <w:right w:w="15" w:type="dxa"/>
            </w:tcMar>
            <w:vAlign w:val="center"/>
          </w:tcPr>
          <w:p w14:paraId="745BEF8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center"/>
              <w:rPr>
                <w:rFonts w:hint="eastAsia" w:ascii="微软雅黑" w:hAnsi="微软雅黑" w:eastAsia="微软雅黑" w:cs="微软雅黑"/>
              </w:rPr>
            </w:pPr>
            <w:r>
              <w:rPr>
                <w:rFonts w:hint="eastAsia" w:ascii="仿宋" w:hAnsi="仿宋" w:eastAsia="仿宋" w:cs="仿宋"/>
                <w:sz w:val="24"/>
                <w:szCs w:val="24"/>
                <w:bdr w:val="none" w:color="auto" w:sz="0" w:space="0"/>
              </w:rPr>
              <w:t>盘锦-河北地区</w:t>
            </w:r>
          </w:p>
        </w:tc>
        <w:tc>
          <w:tcPr>
            <w:tcW w:w="1380" w:type="dxa"/>
            <w:tcBorders>
              <w:top w:val="nil"/>
              <w:left w:val="nil"/>
              <w:bottom w:val="single" w:color="auto" w:sz="4" w:space="0"/>
              <w:right w:val="single" w:color="auto" w:sz="4" w:space="0"/>
            </w:tcBorders>
            <w:shd w:val="clear"/>
            <w:noWrap/>
            <w:tcMar>
              <w:top w:w="15" w:type="dxa"/>
              <w:left w:w="15" w:type="dxa"/>
              <w:right w:w="15" w:type="dxa"/>
            </w:tcMar>
            <w:vAlign w:val="center"/>
          </w:tcPr>
          <w:p w14:paraId="5CBB7F9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center"/>
              <w:rPr>
                <w:rFonts w:hint="eastAsia" w:ascii="微软雅黑" w:hAnsi="微软雅黑" w:eastAsia="微软雅黑" w:cs="微软雅黑"/>
              </w:rPr>
            </w:pPr>
            <w:r>
              <w:rPr>
                <w:rFonts w:hint="eastAsia" w:ascii="仿宋" w:hAnsi="仿宋" w:eastAsia="仿宋" w:cs="仿宋"/>
                <w:sz w:val="24"/>
                <w:szCs w:val="24"/>
                <w:bdr w:val="none" w:color="auto" w:sz="0" w:space="0"/>
              </w:rPr>
              <w:t>叉车运输</w:t>
            </w:r>
          </w:p>
        </w:tc>
        <w:tc>
          <w:tcPr>
            <w:tcW w:w="2415" w:type="dxa"/>
            <w:vMerge w:val="continue"/>
            <w:tcBorders>
              <w:top w:val="nil"/>
              <w:left w:val="nil"/>
              <w:bottom w:val="nil"/>
              <w:right w:val="single" w:color="auto" w:sz="4" w:space="0"/>
            </w:tcBorders>
            <w:shd w:val="clear"/>
            <w:noWrap/>
            <w:tcMar>
              <w:top w:w="15" w:type="dxa"/>
              <w:left w:w="15" w:type="dxa"/>
              <w:right w:w="15" w:type="dxa"/>
            </w:tcMar>
            <w:vAlign w:val="center"/>
          </w:tcPr>
          <w:p w14:paraId="776718D1">
            <w:pPr>
              <w:rPr>
                <w:rFonts w:hint="eastAsia" w:ascii="微软雅黑" w:hAnsi="微软雅黑" w:eastAsia="微软雅黑" w:cs="微软雅黑"/>
                <w:sz w:val="24"/>
                <w:szCs w:val="24"/>
              </w:rPr>
            </w:pPr>
          </w:p>
        </w:tc>
        <w:tc>
          <w:tcPr>
            <w:tcW w:w="2715" w:type="dxa"/>
            <w:vMerge w:val="continue"/>
            <w:tcBorders>
              <w:top w:val="nil"/>
              <w:left w:val="nil"/>
              <w:bottom w:val="nil"/>
              <w:right w:val="single" w:color="auto" w:sz="4" w:space="0"/>
            </w:tcBorders>
            <w:shd w:val="clear"/>
            <w:noWrap/>
            <w:tcMar>
              <w:top w:w="15" w:type="dxa"/>
              <w:left w:w="15" w:type="dxa"/>
              <w:right w:w="15" w:type="dxa"/>
            </w:tcMar>
            <w:vAlign w:val="center"/>
          </w:tcPr>
          <w:p w14:paraId="49AAF585">
            <w:pPr>
              <w:rPr>
                <w:rFonts w:hint="eastAsia" w:ascii="微软雅黑" w:hAnsi="微软雅黑" w:eastAsia="微软雅黑" w:cs="微软雅黑"/>
                <w:sz w:val="24"/>
                <w:szCs w:val="24"/>
              </w:rPr>
            </w:pPr>
          </w:p>
        </w:tc>
      </w:tr>
      <w:tr w14:paraId="63A3445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tblCellMar>
            <w:top w:w="0" w:type="dxa"/>
            <w:left w:w="0" w:type="dxa"/>
            <w:bottom w:w="0" w:type="dxa"/>
            <w:right w:w="0" w:type="dxa"/>
          </w:tblCellMar>
        </w:tblPrEx>
        <w:trPr>
          <w:trHeight w:val="72" w:hRule="atLeast"/>
        </w:trPr>
        <w:tc>
          <w:tcPr>
            <w:tcW w:w="570" w:type="dxa"/>
            <w:tcBorders>
              <w:top w:val="nil"/>
              <w:left w:val="single" w:color="auto" w:sz="4" w:space="0"/>
              <w:bottom w:val="single" w:color="auto" w:sz="4" w:space="0"/>
              <w:right w:val="single" w:color="auto" w:sz="4" w:space="0"/>
            </w:tcBorders>
            <w:shd w:val="clear"/>
            <w:noWrap/>
            <w:tcMar>
              <w:top w:w="15" w:type="dxa"/>
              <w:left w:w="15" w:type="dxa"/>
              <w:right w:w="15" w:type="dxa"/>
            </w:tcMar>
            <w:vAlign w:val="center"/>
          </w:tcPr>
          <w:p w14:paraId="4FB828D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center"/>
              <w:rPr>
                <w:rFonts w:hint="eastAsia" w:ascii="微软雅黑" w:hAnsi="微软雅黑" w:eastAsia="微软雅黑" w:cs="微软雅黑"/>
              </w:rPr>
            </w:pPr>
            <w:r>
              <w:rPr>
                <w:rFonts w:hint="eastAsia" w:ascii="仿宋" w:hAnsi="仿宋" w:eastAsia="仿宋" w:cs="仿宋"/>
                <w:sz w:val="24"/>
                <w:szCs w:val="24"/>
                <w:bdr w:val="none" w:color="auto" w:sz="0" w:space="0"/>
              </w:rPr>
              <w:t>03</w:t>
            </w:r>
          </w:p>
        </w:tc>
        <w:tc>
          <w:tcPr>
            <w:tcW w:w="1920" w:type="dxa"/>
            <w:tcBorders>
              <w:top w:val="nil"/>
              <w:left w:val="nil"/>
              <w:bottom w:val="single" w:color="auto" w:sz="4" w:space="0"/>
              <w:right w:val="single" w:color="auto" w:sz="4" w:space="0"/>
            </w:tcBorders>
            <w:shd w:val="clear"/>
            <w:noWrap/>
            <w:tcMar>
              <w:top w:w="15" w:type="dxa"/>
              <w:left w:w="15" w:type="dxa"/>
              <w:right w:w="15" w:type="dxa"/>
            </w:tcMar>
            <w:vAlign w:val="center"/>
          </w:tcPr>
          <w:p w14:paraId="15EDE59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center"/>
              <w:rPr>
                <w:rFonts w:hint="eastAsia" w:ascii="微软雅黑" w:hAnsi="微软雅黑" w:eastAsia="微软雅黑" w:cs="微软雅黑"/>
              </w:rPr>
            </w:pPr>
            <w:r>
              <w:rPr>
                <w:rFonts w:hint="eastAsia" w:ascii="仿宋" w:hAnsi="仿宋" w:eastAsia="仿宋" w:cs="仿宋"/>
                <w:sz w:val="24"/>
                <w:szCs w:val="24"/>
                <w:bdr w:val="none" w:color="auto" w:sz="0" w:space="0"/>
              </w:rPr>
              <w:t>盘锦-山东地区</w:t>
            </w:r>
          </w:p>
        </w:tc>
        <w:tc>
          <w:tcPr>
            <w:tcW w:w="1380" w:type="dxa"/>
            <w:tcBorders>
              <w:top w:val="nil"/>
              <w:left w:val="nil"/>
              <w:bottom w:val="single" w:color="auto" w:sz="4" w:space="0"/>
              <w:right w:val="single" w:color="auto" w:sz="4" w:space="0"/>
            </w:tcBorders>
            <w:shd w:val="clear"/>
            <w:noWrap/>
            <w:tcMar>
              <w:top w:w="15" w:type="dxa"/>
              <w:left w:w="15" w:type="dxa"/>
              <w:right w:w="15" w:type="dxa"/>
            </w:tcMar>
            <w:vAlign w:val="center"/>
          </w:tcPr>
          <w:p w14:paraId="36BA05A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center"/>
              <w:rPr>
                <w:rFonts w:hint="eastAsia" w:ascii="微软雅黑" w:hAnsi="微软雅黑" w:eastAsia="微软雅黑" w:cs="微软雅黑"/>
              </w:rPr>
            </w:pPr>
            <w:r>
              <w:rPr>
                <w:rFonts w:hint="eastAsia" w:ascii="仿宋" w:hAnsi="仿宋" w:eastAsia="仿宋" w:cs="仿宋"/>
                <w:sz w:val="24"/>
                <w:szCs w:val="24"/>
                <w:bdr w:val="none" w:color="auto" w:sz="0" w:space="0"/>
              </w:rPr>
              <w:t>叉车运输</w:t>
            </w:r>
          </w:p>
        </w:tc>
        <w:tc>
          <w:tcPr>
            <w:tcW w:w="2415" w:type="dxa"/>
            <w:vMerge w:val="continue"/>
            <w:tcBorders>
              <w:top w:val="nil"/>
              <w:left w:val="nil"/>
              <w:bottom w:val="nil"/>
              <w:right w:val="single" w:color="auto" w:sz="4" w:space="0"/>
            </w:tcBorders>
            <w:shd w:val="clear"/>
            <w:noWrap/>
            <w:tcMar>
              <w:top w:w="15" w:type="dxa"/>
              <w:left w:w="15" w:type="dxa"/>
              <w:right w:w="15" w:type="dxa"/>
            </w:tcMar>
            <w:vAlign w:val="center"/>
          </w:tcPr>
          <w:p w14:paraId="050C00E0">
            <w:pPr>
              <w:rPr>
                <w:rFonts w:hint="eastAsia" w:ascii="微软雅黑" w:hAnsi="微软雅黑" w:eastAsia="微软雅黑" w:cs="微软雅黑"/>
                <w:sz w:val="24"/>
                <w:szCs w:val="24"/>
              </w:rPr>
            </w:pPr>
          </w:p>
        </w:tc>
        <w:tc>
          <w:tcPr>
            <w:tcW w:w="2715" w:type="dxa"/>
            <w:vMerge w:val="continue"/>
            <w:tcBorders>
              <w:top w:val="nil"/>
              <w:left w:val="nil"/>
              <w:bottom w:val="nil"/>
              <w:right w:val="single" w:color="auto" w:sz="4" w:space="0"/>
            </w:tcBorders>
            <w:shd w:val="clear"/>
            <w:noWrap/>
            <w:tcMar>
              <w:top w:w="15" w:type="dxa"/>
              <w:left w:w="15" w:type="dxa"/>
              <w:right w:w="15" w:type="dxa"/>
            </w:tcMar>
            <w:vAlign w:val="center"/>
          </w:tcPr>
          <w:p w14:paraId="0F12C27B">
            <w:pPr>
              <w:rPr>
                <w:rFonts w:hint="eastAsia" w:ascii="微软雅黑" w:hAnsi="微软雅黑" w:eastAsia="微软雅黑" w:cs="微软雅黑"/>
                <w:sz w:val="24"/>
                <w:szCs w:val="24"/>
              </w:rPr>
            </w:pPr>
          </w:p>
        </w:tc>
      </w:tr>
      <w:tr w14:paraId="4DDE175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tblCellMar>
            <w:top w:w="0" w:type="dxa"/>
            <w:left w:w="0" w:type="dxa"/>
            <w:bottom w:w="0" w:type="dxa"/>
            <w:right w:w="0" w:type="dxa"/>
          </w:tblCellMar>
        </w:tblPrEx>
        <w:trPr>
          <w:trHeight w:val="72" w:hRule="atLeast"/>
        </w:trPr>
        <w:tc>
          <w:tcPr>
            <w:tcW w:w="570" w:type="dxa"/>
            <w:tcBorders>
              <w:top w:val="nil"/>
              <w:left w:val="single" w:color="auto" w:sz="4" w:space="0"/>
              <w:bottom w:val="single" w:color="auto" w:sz="4" w:space="0"/>
              <w:right w:val="single" w:color="auto" w:sz="4" w:space="0"/>
            </w:tcBorders>
            <w:shd w:val="clear"/>
            <w:noWrap/>
            <w:tcMar>
              <w:top w:w="15" w:type="dxa"/>
              <w:left w:w="15" w:type="dxa"/>
              <w:right w:w="15" w:type="dxa"/>
            </w:tcMar>
            <w:vAlign w:val="center"/>
          </w:tcPr>
          <w:p w14:paraId="56E0884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center"/>
              <w:rPr>
                <w:rFonts w:hint="eastAsia" w:ascii="微软雅黑" w:hAnsi="微软雅黑" w:eastAsia="微软雅黑" w:cs="微软雅黑"/>
              </w:rPr>
            </w:pPr>
            <w:r>
              <w:rPr>
                <w:rFonts w:hint="eastAsia" w:ascii="仿宋" w:hAnsi="仿宋" w:eastAsia="仿宋" w:cs="仿宋"/>
                <w:sz w:val="24"/>
                <w:szCs w:val="24"/>
                <w:bdr w:val="none" w:color="auto" w:sz="0" w:space="0"/>
              </w:rPr>
              <w:t>04</w:t>
            </w:r>
          </w:p>
        </w:tc>
        <w:tc>
          <w:tcPr>
            <w:tcW w:w="1920" w:type="dxa"/>
            <w:tcBorders>
              <w:top w:val="nil"/>
              <w:left w:val="nil"/>
              <w:bottom w:val="single" w:color="auto" w:sz="4" w:space="0"/>
              <w:right w:val="single" w:color="auto" w:sz="4" w:space="0"/>
            </w:tcBorders>
            <w:shd w:val="clear"/>
            <w:noWrap/>
            <w:tcMar>
              <w:top w:w="15" w:type="dxa"/>
              <w:left w:w="15" w:type="dxa"/>
              <w:right w:w="15" w:type="dxa"/>
            </w:tcMar>
            <w:vAlign w:val="center"/>
          </w:tcPr>
          <w:p w14:paraId="7A8807B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center"/>
              <w:rPr>
                <w:rFonts w:hint="eastAsia" w:ascii="微软雅黑" w:hAnsi="微软雅黑" w:eastAsia="微软雅黑" w:cs="微软雅黑"/>
              </w:rPr>
            </w:pPr>
            <w:r>
              <w:rPr>
                <w:rFonts w:hint="eastAsia" w:ascii="仿宋" w:hAnsi="仿宋" w:eastAsia="仿宋" w:cs="仿宋"/>
                <w:sz w:val="24"/>
                <w:szCs w:val="24"/>
                <w:bdr w:val="none" w:color="auto" w:sz="0" w:space="0"/>
              </w:rPr>
              <w:t>盘锦-天津地区</w:t>
            </w:r>
          </w:p>
        </w:tc>
        <w:tc>
          <w:tcPr>
            <w:tcW w:w="1380" w:type="dxa"/>
            <w:tcBorders>
              <w:top w:val="nil"/>
              <w:left w:val="nil"/>
              <w:bottom w:val="single" w:color="auto" w:sz="4" w:space="0"/>
              <w:right w:val="single" w:color="auto" w:sz="4" w:space="0"/>
            </w:tcBorders>
            <w:shd w:val="clear"/>
            <w:noWrap/>
            <w:tcMar>
              <w:top w:w="15" w:type="dxa"/>
              <w:left w:w="15" w:type="dxa"/>
              <w:right w:w="15" w:type="dxa"/>
            </w:tcMar>
            <w:vAlign w:val="center"/>
          </w:tcPr>
          <w:p w14:paraId="0B6796B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center"/>
              <w:rPr>
                <w:rFonts w:hint="eastAsia" w:ascii="微软雅黑" w:hAnsi="微软雅黑" w:eastAsia="微软雅黑" w:cs="微软雅黑"/>
              </w:rPr>
            </w:pPr>
            <w:r>
              <w:rPr>
                <w:rFonts w:hint="eastAsia" w:ascii="仿宋" w:hAnsi="仿宋" w:eastAsia="仿宋" w:cs="仿宋"/>
                <w:sz w:val="24"/>
                <w:szCs w:val="24"/>
                <w:bdr w:val="none" w:color="auto" w:sz="0" w:space="0"/>
              </w:rPr>
              <w:t>叉车运输</w:t>
            </w:r>
          </w:p>
        </w:tc>
        <w:tc>
          <w:tcPr>
            <w:tcW w:w="2415" w:type="dxa"/>
            <w:vMerge w:val="continue"/>
            <w:tcBorders>
              <w:top w:val="nil"/>
              <w:left w:val="nil"/>
              <w:bottom w:val="nil"/>
              <w:right w:val="single" w:color="auto" w:sz="4" w:space="0"/>
            </w:tcBorders>
            <w:shd w:val="clear"/>
            <w:noWrap/>
            <w:tcMar>
              <w:top w:w="15" w:type="dxa"/>
              <w:left w:w="15" w:type="dxa"/>
              <w:right w:w="15" w:type="dxa"/>
            </w:tcMar>
            <w:vAlign w:val="center"/>
          </w:tcPr>
          <w:p w14:paraId="374FA1BF">
            <w:pPr>
              <w:rPr>
                <w:rFonts w:hint="eastAsia" w:ascii="微软雅黑" w:hAnsi="微软雅黑" w:eastAsia="微软雅黑" w:cs="微软雅黑"/>
                <w:sz w:val="24"/>
                <w:szCs w:val="24"/>
              </w:rPr>
            </w:pPr>
          </w:p>
        </w:tc>
        <w:tc>
          <w:tcPr>
            <w:tcW w:w="2715" w:type="dxa"/>
            <w:vMerge w:val="continue"/>
            <w:tcBorders>
              <w:top w:val="nil"/>
              <w:left w:val="nil"/>
              <w:bottom w:val="nil"/>
              <w:right w:val="single" w:color="auto" w:sz="4" w:space="0"/>
            </w:tcBorders>
            <w:shd w:val="clear"/>
            <w:noWrap/>
            <w:tcMar>
              <w:top w:w="15" w:type="dxa"/>
              <w:left w:w="15" w:type="dxa"/>
              <w:right w:w="15" w:type="dxa"/>
            </w:tcMar>
            <w:vAlign w:val="center"/>
          </w:tcPr>
          <w:p w14:paraId="5F6D2A69">
            <w:pPr>
              <w:rPr>
                <w:rFonts w:hint="eastAsia" w:ascii="微软雅黑" w:hAnsi="微软雅黑" w:eastAsia="微软雅黑" w:cs="微软雅黑"/>
                <w:sz w:val="24"/>
                <w:szCs w:val="24"/>
              </w:rPr>
            </w:pPr>
          </w:p>
        </w:tc>
      </w:tr>
    </w:tbl>
    <w:p w14:paraId="3F83C61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firstLine="384"/>
        <w:rPr>
          <w:rFonts w:hint="eastAsia" w:ascii="微软雅黑" w:hAnsi="微软雅黑" w:eastAsia="微软雅黑" w:cs="微软雅黑"/>
        </w:rPr>
      </w:pPr>
      <w:r>
        <w:rPr>
          <w:rFonts w:hint="eastAsia" w:ascii="仿宋" w:hAnsi="仿宋" w:eastAsia="仿宋" w:cs="仿宋"/>
          <w:sz w:val="24"/>
          <w:szCs w:val="24"/>
          <w:bdr w:val="none" w:color="auto" w:sz="0" w:space="0"/>
        </w:rPr>
        <w:t>2.4 服务期：</w:t>
      </w:r>
      <w:r>
        <w:rPr>
          <w:rFonts w:hint="eastAsia" w:ascii="仿宋" w:hAnsi="仿宋" w:eastAsia="仿宋" w:cs="仿宋"/>
          <w:sz w:val="28"/>
          <w:szCs w:val="28"/>
          <w:bdr w:val="none" w:color="auto" w:sz="0" w:space="0"/>
        </w:rPr>
        <w:t>1年；</w:t>
      </w:r>
    </w:p>
    <w:p w14:paraId="0483A49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firstLine="384"/>
        <w:rPr>
          <w:rFonts w:hint="eastAsia" w:ascii="微软雅黑" w:hAnsi="微软雅黑" w:eastAsia="微软雅黑" w:cs="微软雅黑"/>
        </w:rPr>
      </w:pPr>
      <w:r>
        <w:rPr>
          <w:rFonts w:hint="eastAsia" w:ascii="仿宋" w:hAnsi="仿宋" w:eastAsia="仿宋" w:cs="仿宋"/>
          <w:sz w:val="24"/>
          <w:szCs w:val="24"/>
          <w:bdr w:val="none" w:color="auto" w:sz="0" w:space="0"/>
        </w:rPr>
        <w:t>2.5 服务地点：招标人指定地点。</w:t>
      </w:r>
    </w:p>
    <w:p w14:paraId="15C423A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firstLine="384"/>
        <w:rPr>
          <w:rFonts w:hint="eastAsia" w:ascii="微软雅黑" w:hAnsi="微软雅黑" w:eastAsia="微软雅黑" w:cs="微软雅黑"/>
        </w:rPr>
      </w:pPr>
      <w:r>
        <w:rPr>
          <w:rFonts w:hint="eastAsia" w:ascii="仿宋" w:hAnsi="仿宋" w:eastAsia="仿宋" w:cs="仿宋"/>
          <w:sz w:val="24"/>
          <w:szCs w:val="24"/>
          <w:bdr w:val="none" w:color="auto" w:sz="0" w:space="0"/>
        </w:rPr>
        <w:t>2.6 其他：本项目共分为4个包次，投标人可根据自身情况，对一个或多个包次进行投标，可中标其中的一个或多个包次，每包次选择1家中标人。</w:t>
      </w:r>
    </w:p>
    <w:p w14:paraId="1F3EFB2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rPr>
          <w:rFonts w:hint="eastAsia" w:ascii="微软雅黑" w:hAnsi="微软雅黑" w:eastAsia="微软雅黑" w:cs="微软雅黑"/>
        </w:rPr>
      </w:pPr>
      <w:r>
        <w:rPr>
          <w:rStyle w:val="7"/>
          <w:rFonts w:hint="eastAsia" w:ascii="仿宋" w:hAnsi="仿宋" w:eastAsia="仿宋" w:cs="仿宋"/>
          <w:b/>
          <w:sz w:val="31"/>
          <w:szCs w:val="31"/>
          <w:bdr w:val="none" w:color="auto" w:sz="0" w:space="0"/>
        </w:rPr>
        <w:t>3.资格审查方式</w:t>
      </w:r>
    </w:p>
    <w:p w14:paraId="75CFFEC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384"/>
        <w:rPr>
          <w:rFonts w:hint="eastAsia" w:ascii="微软雅黑" w:hAnsi="微软雅黑" w:eastAsia="微软雅黑" w:cs="微软雅黑"/>
        </w:rPr>
      </w:pPr>
      <w:r>
        <w:rPr>
          <w:rFonts w:hint="eastAsia" w:ascii="仿宋" w:hAnsi="仿宋" w:eastAsia="仿宋" w:cs="仿宋"/>
          <w:sz w:val="24"/>
          <w:szCs w:val="24"/>
          <w:bdr w:val="none" w:color="auto" w:sz="0" w:space="0"/>
        </w:rPr>
        <w:t>资格后审</w:t>
      </w:r>
    </w:p>
    <w:p w14:paraId="1B0838A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rPr>
          <w:rFonts w:hint="eastAsia" w:ascii="微软雅黑" w:hAnsi="微软雅黑" w:eastAsia="微软雅黑" w:cs="微软雅黑"/>
        </w:rPr>
      </w:pPr>
      <w:r>
        <w:rPr>
          <w:rStyle w:val="7"/>
          <w:rFonts w:hint="eastAsia" w:ascii="仿宋" w:hAnsi="仿宋" w:eastAsia="仿宋" w:cs="仿宋"/>
          <w:b/>
          <w:sz w:val="31"/>
          <w:szCs w:val="31"/>
          <w:bdr w:val="none" w:color="auto" w:sz="0" w:space="0"/>
        </w:rPr>
        <w:t>4. 投标人资格要求（每个包）</w:t>
      </w:r>
    </w:p>
    <w:p w14:paraId="206BEC3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4" w:lineRule="atLeast"/>
        <w:ind w:left="0" w:right="0" w:firstLine="192"/>
        <w:rPr>
          <w:rFonts w:hint="eastAsia" w:ascii="微软雅黑" w:hAnsi="微软雅黑" w:eastAsia="微软雅黑" w:cs="微软雅黑"/>
        </w:rPr>
      </w:pPr>
      <w:r>
        <w:rPr>
          <w:rFonts w:hint="eastAsia" w:ascii="仿宋" w:hAnsi="仿宋" w:eastAsia="仿宋" w:cs="仿宋"/>
          <w:sz w:val="24"/>
          <w:szCs w:val="24"/>
          <w:bdr w:val="none" w:color="auto" w:sz="0" w:space="0"/>
        </w:rPr>
        <w:t>4.1资质要求：</w:t>
      </w:r>
    </w:p>
    <w:p w14:paraId="6568DF1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4" w:lineRule="atLeast"/>
        <w:ind w:left="0" w:right="0" w:firstLine="192"/>
        <w:rPr>
          <w:rFonts w:hint="eastAsia" w:ascii="微软雅黑" w:hAnsi="微软雅黑" w:eastAsia="微软雅黑" w:cs="微软雅黑"/>
        </w:rPr>
      </w:pPr>
      <w:r>
        <w:rPr>
          <w:rFonts w:hint="eastAsia" w:ascii="仿宋" w:hAnsi="仿宋" w:eastAsia="仿宋" w:cs="仿宋"/>
          <w:sz w:val="24"/>
          <w:szCs w:val="24"/>
          <w:bdr w:val="none" w:color="auto" w:sz="0" w:space="0"/>
        </w:rPr>
        <w:t>（1）投标人须具有独立承担民事责任的能力（证明材料提供营业执照或事业单位法人登记证书）；</w:t>
      </w:r>
    </w:p>
    <w:p w14:paraId="1E5EF56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4" w:lineRule="atLeast"/>
        <w:ind w:left="0" w:right="0" w:firstLine="192"/>
        <w:rPr>
          <w:rFonts w:hint="eastAsia" w:ascii="微软雅黑" w:hAnsi="微软雅黑" w:eastAsia="微软雅黑" w:cs="微软雅黑"/>
        </w:rPr>
      </w:pPr>
      <w:r>
        <w:rPr>
          <w:rFonts w:hint="eastAsia" w:ascii="仿宋" w:hAnsi="仿宋" w:eastAsia="仿宋" w:cs="仿宋"/>
          <w:sz w:val="24"/>
          <w:szCs w:val="24"/>
          <w:bdr w:val="none" w:color="auto" w:sz="0" w:space="0"/>
        </w:rPr>
        <w:t>（2）投标人须具有运管部门核发的有效的《道路运输经营许可证》，可从事货物运输服务；</w:t>
      </w:r>
    </w:p>
    <w:p w14:paraId="308F97A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4" w:lineRule="atLeast"/>
        <w:ind w:left="0" w:right="0" w:firstLine="192"/>
        <w:rPr>
          <w:rFonts w:hint="eastAsia" w:ascii="微软雅黑" w:hAnsi="微软雅黑" w:eastAsia="微软雅黑" w:cs="微软雅黑"/>
        </w:rPr>
      </w:pPr>
      <w:r>
        <w:rPr>
          <w:rFonts w:hint="eastAsia" w:ascii="仿宋" w:hAnsi="仿宋" w:eastAsia="仿宋" w:cs="仿宋"/>
          <w:sz w:val="24"/>
          <w:szCs w:val="24"/>
          <w:bdr w:val="none" w:color="auto" w:sz="0" w:space="0"/>
        </w:rPr>
        <w:t>（3）投标人应能够提供24小时运输服务，具有流畅的信息沟通渠道.固定的联络人员和联系方式（提供承诺函）；</w:t>
      </w:r>
    </w:p>
    <w:p w14:paraId="1DB1624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4" w:lineRule="atLeast"/>
        <w:ind w:left="0" w:right="0" w:firstLine="192"/>
        <w:rPr>
          <w:rFonts w:hint="eastAsia" w:ascii="微软雅黑" w:hAnsi="微软雅黑" w:eastAsia="微软雅黑" w:cs="微软雅黑"/>
        </w:rPr>
      </w:pPr>
      <w:r>
        <w:rPr>
          <w:rFonts w:hint="eastAsia" w:ascii="仿宋" w:hAnsi="仿宋" w:eastAsia="仿宋" w:cs="仿宋"/>
          <w:sz w:val="24"/>
          <w:szCs w:val="24"/>
          <w:bdr w:val="none" w:color="auto" w:sz="0" w:space="0"/>
        </w:rPr>
        <w:t>（4）投标人须具有完成本项目运输的自有车辆和社会合作车辆数合计不少于10辆；</w:t>
      </w:r>
      <w:r>
        <w:rPr>
          <w:rFonts w:hint="eastAsia" w:ascii="微软雅黑" w:hAnsi="微软雅黑" w:eastAsia="微软雅黑" w:cs="微软雅黑"/>
          <w:sz w:val="24"/>
          <w:szCs w:val="24"/>
          <w:bdr w:val="none" w:color="auto" w:sz="0" w:space="0"/>
        </w:rPr>
        <w:br w:type="textWrapping"/>
      </w:r>
      <w:r>
        <w:rPr>
          <w:rFonts w:hint="eastAsia" w:ascii="仿宋" w:hAnsi="仿宋" w:eastAsia="仿宋" w:cs="仿宋"/>
          <w:sz w:val="24"/>
          <w:szCs w:val="24"/>
          <w:bdr w:val="none" w:color="auto" w:sz="0" w:space="0"/>
        </w:rPr>
        <w:t>注：1）</w:t>
      </w:r>
      <w:r>
        <w:rPr>
          <w:rStyle w:val="7"/>
          <w:rFonts w:hint="eastAsia" w:ascii="仿宋" w:hAnsi="仿宋" w:eastAsia="仿宋" w:cs="仿宋"/>
          <w:sz w:val="24"/>
          <w:szCs w:val="24"/>
          <w:bdr w:val="none" w:color="auto" w:sz="0" w:space="0"/>
        </w:rPr>
        <w:t>关于“车辆”的要求：1台牵引车+1台挂车算作1辆车，其中牵引车的准牵引质量不小于30吨，挂车的核载质量不小于30吨；同一牵引车和挂车不得重复组合，举例说明：牵引车A和挂车B“组合”成1辆车，那么牵引车A和挂车B就不能再出现在其他组合车辆中；</w:t>
      </w:r>
      <w:r>
        <w:rPr>
          <w:rFonts w:hint="eastAsia" w:ascii="微软雅黑" w:hAnsi="微软雅黑" w:eastAsia="微软雅黑" w:cs="微软雅黑"/>
          <w:sz w:val="24"/>
          <w:szCs w:val="24"/>
          <w:bdr w:val="none" w:color="auto" w:sz="0" w:space="0"/>
        </w:rPr>
        <w:br w:type="textWrapping"/>
      </w:r>
      <w:r>
        <w:rPr>
          <w:rFonts w:hint="eastAsia" w:ascii="仿宋" w:hAnsi="仿宋" w:eastAsia="仿宋" w:cs="仿宋"/>
          <w:sz w:val="24"/>
          <w:szCs w:val="24"/>
          <w:bdr w:val="none" w:color="auto" w:sz="0" w:space="0"/>
        </w:rPr>
        <w:t>2）投标人提供自有车辆的，须提供有效的行驶证</w:t>
      </w:r>
      <w:r>
        <w:rPr>
          <w:rStyle w:val="7"/>
          <w:rFonts w:hint="eastAsia" w:ascii="仿宋" w:hAnsi="仿宋" w:eastAsia="仿宋" w:cs="仿宋"/>
          <w:sz w:val="24"/>
          <w:szCs w:val="24"/>
          <w:bdr w:val="none" w:color="auto" w:sz="0" w:space="0"/>
        </w:rPr>
        <w:t>（年检日期应在有效期内）</w:t>
      </w:r>
      <w:r>
        <w:rPr>
          <w:rFonts w:hint="eastAsia" w:ascii="仿宋" w:hAnsi="仿宋" w:eastAsia="仿宋" w:cs="仿宋"/>
          <w:sz w:val="24"/>
          <w:szCs w:val="24"/>
          <w:bdr w:val="none" w:color="auto" w:sz="0" w:space="0"/>
        </w:rPr>
        <w:t>及牵引车的保险证明材料扫描件；提供社会合作车辆的，须提供有效的行驶证</w:t>
      </w:r>
      <w:r>
        <w:rPr>
          <w:rStyle w:val="7"/>
          <w:rFonts w:hint="eastAsia" w:ascii="仿宋" w:hAnsi="仿宋" w:eastAsia="仿宋" w:cs="仿宋"/>
          <w:sz w:val="24"/>
          <w:szCs w:val="24"/>
          <w:bdr w:val="none" w:color="auto" w:sz="0" w:space="0"/>
        </w:rPr>
        <w:t>（年检日期应在有效期内）</w:t>
      </w:r>
      <w:r>
        <w:rPr>
          <w:rFonts w:hint="eastAsia" w:ascii="仿宋" w:hAnsi="仿宋" w:eastAsia="仿宋" w:cs="仿宋"/>
          <w:sz w:val="24"/>
          <w:szCs w:val="24"/>
          <w:bdr w:val="none" w:color="auto" w:sz="0" w:space="0"/>
        </w:rPr>
        <w:t>、租赁协议及社会合作车辆中牵引车有效的保险证明材料扫描件，牵引车的保险证明材料中至少应包含交强险，挂车的保险不作要求。</w:t>
      </w:r>
      <w:r>
        <w:rPr>
          <w:rFonts w:hint="eastAsia" w:ascii="微软雅黑" w:hAnsi="微软雅黑" w:eastAsia="微软雅黑" w:cs="微软雅黑"/>
          <w:sz w:val="24"/>
          <w:szCs w:val="24"/>
          <w:bdr w:val="none" w:color="auto" w:sz="0" w:space="0"/>
        </w:rPr>
        <w:br w:type="textWrapping"/>
      </w:r>
      <w:r>
        <w:rPr>
          <w:rFonts w:hint="eastAsia" w:ascii="仿宋" w:hAnsi="仿宋" w:eastAsia="仿宋" w:cs="仿宋"/>
          <w:sz w:val="24"/>
          <w:szCs w:val="24"/>
          <w:bdr w:val="none" w:color="auto" w:sz="0" w:space="0"/>
        </w:rPr>
        <w:t>3）以上资料中牵引车和挂车的行驶证都要提供；</w:t>
      </w:r>
    </w:p>
    <w:p w14:paraId="3CCE4B7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4" w:lineRule="atLeast"/>
        <w:ind w:left="0" w:right="0" w:firstLine="192"/>
        <w:rPr>
          <w:rFonts w:hint="eastAsia" w:ascii="微软雅黑" w:hAnsi="微软雅黑" w:eastAsia="微软雅黑" w:cs="微软雅黑"/>
        </w:rPr>
      </w:pPr>
      <w:r>
        <w:rPr>
          <w:rFonts w:hint="eastAsia" w:ascii="仿宋" w:hAnsi="仿宋" w:eastAsia="仿宋" w:cs="仿宋"/>
          <w:sz w:val="24"/>
          <w:szCs w:val="24"/>
          <w:bdr w:val="none" w:color="auto" w:sz="0" w:space="0"/>
        </w:rPr>
        <w:t>（5）投标人承诺具有与保险公司签订的年度货物保险合同，保险额度可覆盖本次运输过程中所发生的所有货物丢失损毁等风险，货物保险额不低于人民币5000万元，保险周期覆盖整个运输服务期，若投标人已有的年度货物保险合同未能覆盖本次运输服务周期的，在其货物保险合同到期后续办货物保险额不低于人民币5000万元的货物保险合同，并确保能够覆盖本项目的运输服务周期（本次投标须提供承诺函）；</w:t>
      </w:r>
      <w:r>
        <w:rPr>
          <w:rStyle w:val="7"/>
          <w:rFonts w:hint="eastAsia" w:ascii="仿宋" w:hAnsi="仿宋" w:eastAsia="仿宋" w:cs="仿宋"/>
          <w:sz w:val="24"/>
          <w:szCs w:val="24"/>
          <w:u w:val="single"/>
          <w:bdr w:val="none" w:color="auto" w:sz="0" w:space="0"/>
        </w:rPr>
        <w:t>注：年度货物保险合同的签订主体须为投标人，否则取消中标资格。</w:t>
      </w:r>
    </w:p>
    <w:p w14:paraId="6DE2C13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4" w:lineRule="atLeast"/>
        <w:ind w:left="0" w:right="0" w:firstLine="384"/>
        <w:rPr>
          <w:rFonts w:hint="eastAsia" w:ascii="微软雅黑" w:hAnsi="微软雅黑" w:eastAsia="微软雅黑" w:cs="微软雅黑"/>
        </w:rPr>
      </w:pPr>
      <w:r>
        <w:rPr>
          <w:rFonts w:hint="eastAsia" w:ascii="仿宋" w:hAnsi="仿宋" w:eastAsia="仿宋" w:cs="仿宋"/>
          <w:sz w:val="24"/>
          <w:szCs w:val="24"/>
          <w:bdr w:val="none" w:color="auto" w:sz="0" w:space="0"/>
        </w:rPr>
        <w:t>4.2财务要求：/</w:t>
      </w:r>
    </w:p>
    <w:p w14:paraId="44B8D5F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4" w:lineRule="atLeast"/>
        <w:ind w:left="0" w:right="0" w:firstLine="444"/>
        <w:rPr>
          <w:rFonts w:hint="eastAsia" w:ascii="微软雅黑" w:hAnsi="微软雅黑" w:eastAsia="微软雅黑" w:cs="微软雅黑"/>
        </w:rPr>
      </w:pPr>
      <w:r>
        <w:rPr>
          <w:rFonts w:hint="eastAsia" w:ascii="仿宋" w:hAnsi="仿宋" w:eastAsia="仿宋" w:cs="仿宋"/>
          <w:sz w:val="24"/>
          <w:szCs w:val="24"/>
          <w:bdr w:val="none" w:color="auto" w:sz="0" w:space="0"/>
        </w:rPr>
        <w:t>4.3其他要求：单位负责人为同一人或者存在控股、管理关系的不同单位，不得参加同一包次或者未划分包次的同一招标项目；</w:t>
      </w:r>
    </w:p>
    <w:p w14:paraId="78C0601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4" w:lineRule="atLeast"/>
        <w:ind w:left="0" w:right="0" w:firstLine="444"/>
        <w:rPr>
          <w:rFonts w:hint="eastAsia" w:ascii="微软雅黑" w:hAnsi="微软雅黑" w:eastAsia="微软雅黑" w:cs="微软雅黑"/>
        </w:rPr>
      </w:pPr>
      <w:r>
        <w:rPr>
          <w:rFonts w:hint="eastAsia" w:ascii="仿宋" w:hAnsi="仿宋" w:eastAsia="仿宋" w:cs="仿宋"/>
          <w:sz w:val="24"/>
          <w:szCs w:val="24"/>
          <w:bdr w:val="none" w:color="auto" w:sz="0" w:space="0"/>
        </w:rPr>
        <w:t>4.4至递交投标文件截止时间止，投标人不得存在以下几种情形之一：</w:t>
      </w:r>
    </w:p>
    <w:p w14:paraId="7CBCBC7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4" w:lineRule="atLeast"/>
        <w:ind w:left="0" w:right="0" w:firstLine="384"/>
        <w:rPr>
          <w:rFonts w:hint="eastAsia" w:ascii="微软雅黑" w:hAnsi="微软雅黑" w:eastAsia="微软雅黑" w:cs="微软雅黑"/>
        </w:rPr>
      </w:pPr>
      <w:r>
        <w:rPr>
          <w:rFonts w:hint="eastAsia" w:ascii="仿宋" w:hAnsi="仿宋" w:eastAsia="仿宋" w:cs="仿宋"/>
          <w:sz w:val="24"/>
          <w:szCs w:val="24"/>
          <w:bdr w:val="none" w:color="auto" w:sz="0" w:space="0"/>
        </w:rPr>
        <w:t>①在国家企业信用信息公示系统（http://www.gsxt.gov.cn/）中被列入经营异常名录、严重违法失信企业名单；</w:t>
      </w:r>
    </w:p>
    <w:p w14:paraId="02B2908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4" w:lineRule="atLeast"/>
        <w:ind w:left="0" w:right="0" w:firstLine="384"/>
        <w:rPr>
          <w:rFonts w:hint="eastAsia" w:ascii="微软雅黑" w:hAnsi="微软雅黑" w:eastAsia="微软雅黑" w:cs="微软雅黑"/>
        </w:rPr>
      </w:pPr>
      <w:r>
        <w:rPr>
          <w:rFonts w:hint="eastAsia" w:ascii="仿宋" w:hAnsi="仿宋" w:eastAsia="仿宋" w:cs="仿宋"/>
          <w:sz w:val="24"/>
          <w:szCs w:val="24"/>
          <w:bdr w:val="none" w:color="auto" w:sz="0" w:space="0"/>
        </w:rPr>
        <w:t>②在“信用中国”网站（http://www.creditchina.gov.cn/）中被列入重大税收违法失信主体名单；</w:t>
      </w:r>
    </w:p>
    <w:p w14:paraId="43EEE05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4" w:lineRule="atLeast"/>
        <w:ind w:left="0" w:right="0" w:firstLine="384"/>
        <w:rPr>
          <w:rFonts w:hint="eastAsia" w:ascii="微软雅黑" w:hAnsi="微软雅黑" w:eastAsia="微软雅黑" w:cs="微软雅黑"/>
        </w:rPr>
      </w:pPr>
      <w:r>
        <w:rPr>
          <w:rFonts w:hint="eastAsia" w:ascii="仿宋" w:hAnsi="仿宋" w:eastAsia="仿宋" w:cs="仿宋"/>
          <w:sz w:val="24"/>
          <w:szCs w:val="24"/>
          <w:bdr w:val="none" w:color="auto" w:sz="0" w:space="0"/>
        </w:rPr>
        <w:t>③在“信用中国”网站（http://www.creditchina.gov.cn/）中被列入失信被执行人名单。</w:t>
      </w:r>
    </w:p>
    <w:p w14:paraId="2648389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4" w:lineRule="atLeast"/>
        <w:ind w:left="0" w:right="0" w:firstLine="444"/>
        <w:rPr>
          <w:rFonts w:hint="eastAsia" w:ascii="微软雅黑" w:hAnsi="微软雅黑" w:eastAsia="微软雅黑" w:cs="微软雅黑"/>
        </w:rPr>
      </w:pPr>
      <w:r>
        <w:rPr>
          <w:rStyle w:val="7"/>
          <w:rFonts w:hint="eastAsia" w:ascii="仿宋" w:hAnsi="仿宋" w:eastAsia="仿宋" w:cs="仿宋"/>
          <w:sz w:val="24"/>
          <w:szCs w:val="24"/>
          <w:bdr w:val="none" w:color="auto" w:sz="0" w:space="0"/>
        </w:rPr>
        <w:t>④投标人被安徽叉车集团有限责任公司列入业务往来负面清单的。</w:t>
      </w:r>
    </w:p>
    <w:p w14:paraId="1646CE6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4" w:lineRule="atLeast"/>
        <w:ind w:left="0" w:right="0" w:firstLine="444"/>
        <w:rPr>
          <w:rFonts w:hint="eastAsia" w:ascii="微软雅黑" w:hAnsi="微软雅黑" w:eastAsia="微软雅黑" w:cs="微软雅黑"/>
        </w:rPr>
      </w:pPr>
      <w:r>
        <w:rPr>
          <w:rFonts w:hint="eastAsia" w:ascii="仿宋" w:hAnsi="仿宋" w:eastAsia="仿宋" w:cs="仿宋"/>
          <w:sz w:val="24"/>
          <w:szCs w:val="24"/>
          <w:bdr w:val="none" w:color="auto" w:sz="0" w:space="0"/>
        </w:rPr>
        <w:t>4.5投标人不得存在招标文件第二章投标人须知第1.4.3项、第1.4.4项规定的情形。</w:t>
      </w:r>
    </w:p>
    <w:p w14:paraId="703D1A8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4" w:lineRule="atLeast"/>
        <w:ind w:left="0" w:right="0" w:firstLine="444"/>
        <w:rPr>
          <w:rFonts w:hint="eastAsia" w:ascii="微软雅黑" w:hAnsi="微软雅黑" w:eastAsia="微软雅黑" w:cs="微软雅黑"/>
        </w:rPr>
      </w:pPr>
      <w:r>
        <w:rPr>
          <w:rFonts w:hint="eastAsia" w:ascii="仿宋" w:hAnsi="仿宋" w:eastAsia="仿宋" w:cs="仿宋"/>
          <w:sz w:val="24"/>
          <w:szCs w:val="24"/>
          <w:bdr w:val="none" w:color="auto" w:sz="0" w:space="0"/>
        </w:rPr>
        <w:t>4.6本招标项目不接受联合体投标。</w:t>
      </w:r>
    </w:p>
    <w:p w14:paraId="553CC45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4" w:lineRule="atLeast"/>
        <w:ind w:left="0" w:right="0" w:firstLine="192"/>
        <w:rPr>
          <w:rFonts w:hint="eastAsia" w:ascii="微软雅黑" w:hAnsi="微软雅黑" w:eastAsia="微软雅黑" w:cs="微软雅黑"/>
        </w:rPr>
      </w:pPr>
      <w:r>
        <w:rPr>
          <w:rStyle w:val="7"/>
          <w:rFonts w:hint="eastAsia" w:ascii="仿宋" w:hAnsi="仿宋" w:eastAsia="仿宋" w:cs="仿宋"/>
          <w:sz w:val="24"/>
          <w:szCs w:val="24"/>
          <w:bdr w:val="none" w:color="auto" w:sz="0" w:space="0"/>
        </w:rPr>
        <w:t>注：以上以评标委员会在评标现场通过“信用中国”网站（www.creditchina.gov.cn）、国家企业信用信息公示系统（http://www.gsxt.gov.cn/）网站查询为准，如遇网站系统故障等其他原因导致无法查询，以投标人承诺函为准；如投标人承诺与实际不符，招标人有权取消其中标（或中标候选）资格，并将报监管部门处理。</w:t>
      </w:r>
    </w:p>
    <w:p w14:paraId="44E1112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4" w:lineRule="atLeast"/>
        <w:ind w:left="0" w:right="0" w:firstLine="516"/>
        <w:rPr>
          <w:rFonts w:hint="eastAsia" w:ascii="微软雅黑" w:hAnsi="微软雅黑" w:eastAsia="微软雅黑" w:cs="微软雅黑"/>
        </w:rPr>
      </w:pPr>
      <w:r>
        <w:rPr>
          <w:rStyle w:val="7"/>
          <w:rFonts w:hint="eastAsia" w:ascii="仿宋" w:hAnsi="仿宋" w:eastAsia="仿宋" w:cs="仿宋"/>
          <w:sz w:val="31"/>
          <w:szCs w:val="31"/>
          <w:bdr w:val="none" w:color="auto" w:sz="0" w:space="0"/>
        </w:rPr>
        <w:t>5. 招标文件的获取</w:t>
      </w:r>
    </w:p>
    <w:p w14:paraId="28980DC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4" w:lineRule="atLeast"/>
        <w:ind w:left="0" w:right="0" w:firstLine="384"/>
        <w:rPr>
          <w:rFonts w:hint="eastAsia" w:ascii="微软雅黑" w:hAnsi="微软雅黑" w:eastAsia="微软雅黑" w:cs="微软雅黑"/>
        </w:rPr>
      </w:pPr>
      <w:r>
        <w:rPr>
          <w:rFonts w:hint="eastAsia" w:ascii="仿宋" w:hAnsi="仿宋" w:eastAsia="仿宋" w:cs="仿宋"/>
          <w:sz w:val="24"/>
          <w:szCs w:val="24"/>
          <w:bdr w:val="none" w:color="auto" w:sz="0" w:space="0"/>
        </w:rPr>
        <w:t>5.1、凡有意参加投标者，请于2026年8月19日至2026年9月3日下午17:00(北京时间，下同)，登录“安天e采招标采购电子交易平台”（网址：https://www.xinecai.com/）下载电子招标文件。</w:t>
      </w:r>
    </w:p>
    <w:p w14:paraId="6C33E8C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336"/>
        <w:rPr>
          <w:rFonts w:hint="eastAsia" w:ascii="微软雅黑" w:hAnsi="微软雅黑" w:eastAsia="微软雅黑" w:cs="微软雅黑"/>
        </w:rPr>
      </w:pPr>
      <w:r>
        <w:rPr>
          <w:rFonts w:hint="eastAsia" w:ascii="仿宋" w:hAnsi="仿宋" w:eastAsia="仿宋" w:cs="仿宋"/>
          <w:sz w:val="24"/>
          <w:szCs w:val="24"/>
          <w:bdr w:val="none" w:color="auto" w:sz="0" w:space="0"/>
        </w:rPr>
        <w:t>5.2、获取方式：网上获取：凡有意参加本项目投标人，需在安天e采电子交易系统（https://www.xinecai.com/）进行企业免费注册，具体操作参见《安天e采—企业注册通知公告》。完成企业注册并通过审核后（审核期一般为三个工作日），可以通过互联网登录“安天e采电子交易系统”，明确参加项目及标包，在公告有效期内在线缴纳招标文件费用后（文件售价:400元/包次，文件售后不退），下载文件及相关附件（含澄清、答疑及补充通知等文件，招标人/代理机构不再另行通知，投标人应及时关注、查阅安天e采电子交易系统发布的上述相关内容，否则造成的后果自负）；联合体投标的，由联合体牵头人进行文件下载操作。</w:t>
      </w:r>
    </w:p>
    <w:p w14:paraId="10424BD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rPr>
          <w:rFonts w:hint="eastAsia" w:ascii="微软雅黑" w:hAnsi="微软雅黑" w:eastAsia="微软雅黑" w:cs="微软雅黑"/>
        </w:rPr>
      </w:pPr>
      <w:r>
        <w:rPr>
          <w:rFonts w:hint="eastAsia" w:ascii="仿宋" w:hAnsi="仿宋" w:eastAsia="仿宋" w:cs="仿宋"/>
          <w:sz w:val="24"/>
          <w:szCs w:val="24"/>
          <w:bdr w:val="none" w:color="auto" w:sz="0" w:space="0"/>
        </w:rPr>
        <w:t>用户注册成功后如需要变更初始注册信息的，应及时在安天e采申请变更（安天e采服务热线：400-050-9988），如因未及时变更导致不良后果，投标人责任自负。</w:t>
      </w:r>
    </w:p>
    <w:p w14:paraId="5B35C7C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rPr>
          <w:rFonts w:hint="eastAsia" w:ascii="微软雅黑" w:hAnsi="微软雅黑" w:eastAsia="微软雅黑" w:cs="微软雅黑"/>
        </w:rPr>
      </w:pPr>
      <w:r>
        <w:rPr>
          <w:rStyle w:val="7"/>
          <w:rFonts w:hint="eastAsia" w:ascii="仿宋" w:hAnsi="仿宋" w:eastAsia="仿宋" w:cs="仿宋"/>
          <w:b/>
          <w:sz w:val="31"/>
          <w:szCs w:val="31"/>
          <w:bdr w:val="none" w:color="auto" w:sz="0" w:space="0"/>
        </w:rPr>
        <w:t>6. 投标文件的递交</w:t>
      </w:r>
    </w:p>
    <w:p w14:paraId="3BF1988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firstLine="384"/>
        <w:rPr>
          <w:rFonts w:hint="eastAsia" w:ascii="微软雅黑" w:hAnsi="微软雅黑" w:eastAsia="微软雅黑" w:cs="微软雅黑"/>
        </w:rPr>
      </w:pPr>
      <w:r>
        <w:rPr>
          <w:rFonts w:hint="eastAsia" w:ascii="仿宋" w:hAnsi="仿宋" w:eastAsia="仿宋" w:cs="仿宋"/>
          <w:sz w:val="24"/>
          <w:szCs w:val="24"/>
          <w:bdr w:val="none" w:color="auto" w:sz="0" w:space="0"/>
        </w:rPr>
        <w:t>6.1 投标文件递交截止时间（投标截止时间，下同）：2026年9月8日14时00分。</w:t>
      </w:r>
    </w:p>
    <w:p w14:paraId="167E5DB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rPr>
          <w:rFonts w:hint="eastAsia" w:ascii="微软雅黑" w:hAnsi="微软雅黑" w:eastAsia="微软雅黑" w:cs="微软雅黑"/>
        </w:rPr>
      </w:pPr>
      <w:r>
        <w:rPr>
          <w:rFonts w:hint="eastAsia" w:ascii="仿宋" w:hAnsi="仿宋" w:eastAsia="仿宋" w:cs="仿宋"/>
          <w:sz w:val="31"/>
          <w:szCs w:val="31"/>
          <w:bdr w:val="none" w:color="auto" w:sz="0" w:space="0"/>
        </w:rPr>
        <w:t>7. </w:t>
      </w:r>
      <w:r>
        <w:rPr>
          <w:rStyle w:val="7"/>
          <w:rFonts w:hint="eastAsia" w:ascii="仿宋" w:hAnsi="仿宋" w:eastAsia="仿宋" w:cs="仿宋"/>
          <w:b/>
          <w:sz w:val="31"/>
          <w:szCs w:val="31"/>
          <w:bdr w:val="none" w:color="auto" w:sz="0" w:space="0"/>
        </w:rPr>
        <w:t>评标办法</w:t>
      </w:r>
    </w:p>
    <w:p w14:paraId="6943DAC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firstLine="384"/>
        <w:rPr>
          <w:rFonts w:hint="eastAsia" w:ascii="微软雅黑" w:hAnsi="微软雅黑" w:eastAsia="微软雅黑" w:cs="微软雅黑"/>
        </w:rPr>
      </w:pPr>
      <w:r>
        <w:rPr>
          <w:rFonts w:hint="eastAsia" w:ascii="仿宋" w:hAnsi="仿宋" w:eastAsia="仿宋" w:cs="仿宋"/>
          <w:sz w:val="24"/>
          <w:szCs w:val="24"/>
          <w:bdr w:val="none" w:color="auto" w:sz="0" w:space="0"/>
        </w:rPr>
        <w:t>本招标项目评标办法采用综合评估法。（见招标文件第三章“评标办法”）</w:t>
      </w:r>
    </w:p>
    <w:p w14:paraId="2C50027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rPr>
          <w:rFonts w:hint="eastAsia" w:ascii="微软雅黑" w:hAnsi="微软雅黑" w:eastAsia="微软雅黑" w:cs="微软雅黑"/>
        </w:rPr>
      </w:pPr>
      <w:r>
        <w:rPr>
          <w:rStyle w:val="7"/>
          <w:rFonts w:hint="eastAsia" w:ascii="仿宋" w:hAnsi="仿宋" w:eastAsia="仿宋" w:cs="仿宋"/>
          <w:b/>
          <w:sz w:val="31"/>
          <w:szCs w:val="31"/>
          <w:bdr w:val="none" w:color="auto" w:sz="0" w:space="0"/>
        </w:rPr>
        <w:t>8. 开标时间及地点</w:t>
      </w:r>
    </w:p>
    <w:p w14:paraId="4A5ACFA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firstLine="384"/>
        <w:rPr>
          <w:rFonts w:hint="eastAsia" w:ascii="微软雅黑" w:hAnsi="微软雅黑" w:eastAsia="微软雅黑" w:cs="微软雅黑"/>
        </w:rPr>
      </w:pPr>
      <w:r>
        <w:rPr>
          <w:rFonts w:hint="eastAsia" w:ascii="仿宋" w:hAnsi="仿宋" w:eastAsia="仿宋" w:cs="仿宋"/>
          <w:sz w:val="24"/>
          <w:szCs w:val="24"/>
          <w:bdr w:val="none" w:color="auto" w:sz="0" w:space="0"/>
        </w:rPr>
        <w:t>8.1 开标时间：同投标文件递交截止时间。</w:t>
      </w:r>
    </w:p>
    <w:p w14:paraId="4272EE1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rPr>
          <w:rFonts w:hint="eastAsia" w:ascii="微软雅黑" w:hAnsi="微软雅黑" w:eastAsia="微软雅黑" w:cs="微软雅黑"/>
        </w:rPr>
      </w:pPr>
      <w:r>
        <w:rPr>
          <w:rStyle w:val="7"/>
          <w:rFonts w:hint="eastAsia" w:ascii="仿宋" w:hAnsi="仿宋" w:eastAsia="仿宋" w:cs="仿宋"/>
          <w:b/>
          <w:sz w:val="31"/>
          <w:szCs w:val="31"/>
          <w:bdr w:val="none" w:color="auto" w:sz="0" w:space="0"/>
        </w:rPr>
        <w:t>9. 发布公告的媒介</w:t>
      </w:r>
    </w:p>
    <w:p w14:paraId="7F325F0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firstLine="384"/>
        <w:rPr>
          <w:rFonts w:hint="eastAsia" w:ascii="微软雅黑" w:hAnsi="微软雅黑" w:eastAsia="微软雅黑" w:cs="微软雅黑"/>
        </w:rPr>
      </w:pPr>
      <w:r>
        <w:rPr>
          <w:rFonts w:hint="eastAsia" w:ascii="仿宋" w:hAnsi="仿宋" w:eastAsia="仿宋" w:cs="仿宋"/>
          <w:sz w:val="24"/>
          <w:szCs w:val="24"/>
          <w:bdr w:val="none" w:color="auto" w:sz="0" w:space="0"/>
        </w:rPr>
        <w:t>本次招标公告同时在</w:t>
      </w:r>
      <w:r>
        <w:rPr>
          <w:rFonts w:hint="eastAsia" w:ascii="仿宋" w:hAnsi="仿宋" w:eastAsia="仿宋" w:cs="仿宋"/>
          <w:sz w:val="24"/>
          <w:szCs w:val="24"/>
          <w:bdr w:val="none" w:color="auto" w:sz="0" w:space="0"/>
          <w:shd w:val="clear" w:fill="FFFFFF"/>
        </w:rPr>
        <w:t>安徽省招标投标信息网（www.ahtba.org.cn）、中国招标投标公共服务平台（www.cebpubservice.com）、</w:t>
      </w:r>
      <w:r>
        <w:rPr>
          <w:rFonts w:hint="eastAsia" w:ascii="仿宋" w:hAnsi="仿宋" w:eastAsia="仿宋" w:cs="仿宋"/>
          <w:sz w:val="24"/>
          <w:szCs w:val="24"/>
          <w:bdr w:val="none" w:color="auto" w:sz="0" w:space="0"/>
        </w:rPr>
        <w:t>“安天e采招标采购电子交易平台”（https://www.xinecai.com/）</w:t>
      </w:r>
      <w:r>
        <w:rPr>
          <w:rFonts w:hint="eastAsia" w:ascii="仿宋" w:hAnsi="仿宋" w:eastAsia="仿宋" w:cs="仿宋"/>
          <w:sz w:val="24"/>
          <w:szCs w:val="24"/>
          <w:bdr w:val="none" w:color="auto" w:sz="0" w:space="0"/>
          <w:shd w:val="clear" w:fill="FFFFFF"/>
        </w:rPr>
        <w:t>上发布</w:t>
      </w:r>
      <w:r>
        <w:rPr>
          <w:rFonts w:hint="eastAsia" w:ascii="仿宋" w:hAnsi="仿宋" w:eastAsia="仿宋" w:cs="仿宋"/>
          <w:sz w:val="24"/>
          <w:szCs w:val="24"/>
          <w:bdr w:val="none" w:color="auto" w:sz="0" w:space="0"/>
        </w:rPr>
        <w:t>。</w:t>
      </w:r>
    </w:p>
    <w:p w14:paraId="61ACCE8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rPr>
          <w:rFonts w:hint="eastAsia" w:ascii="微软雅黑" w:hAnsi="微软雅黑" w:eastAsia="微软雅黑" w:cs="微软雅黑"/>
        </w:rPr>
      </w:pPr>
      <w:r>
        <w:rPr>
          <w:rStyle w:val="7"/>
          <w:rFonts w:hint="eastAsia" w:ascii="仿宋" w:hAnsi="仿宋" w:eastAsia="仿宋" w:cs="仿宋"/>
          <w:b/>
          <w:sz w:val="31"/>
          <w:szCs w:val="31"/>
          <w:bdr w:val="none" w:color="auto" w:sz="0" w:space="0"/>
        </w:rPr>
        <w:t>10. 联系方式</w:t>
      </w:r>
    </w:p>
    <w:p w14:paraId="11021C0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firstLine="384"/>
        <w:rPr>
          <w:rFonts w:hint="eastAsia" w:ascii="微软雅黑" w:hAnsi="微软雅黑" w:eastAsia="微软雅黑" w:cs="微软雅黑"/>
        </w:rPr>
      </w:pPr>
      <w:r>
        <w:rPr>
          <w:rFonts w:hint="eastAsia" w:ascii="仿宋" w:hAnsi="仿宋" w:eastAsia="仿宋" w:cs="仿宋"/>
          <w:sz w:val="24"/>
          <w:szCs w:val="24"/>
          <w:bdr w:val="none" w:color="auto" w:sz="0" w:space="0"/>
        </w:rPr>
        <w:t>10.1招 标 人：01包：北京北方合力叉车有限公司；02包：河北合力叉车有限公司；03包：山东合力叉车销售有限公司；04包：天津北方合力叉车有限公司</w:t>
      </w:r>
    </w:p>
    <w:p w14:paraId="6E3202E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firstLine="384"/>
        <w:rPr>
          <w:rFonts w:hint="eastAsia" w:ascii="微软雅黑" w:hAnsi="微软雅黑" w:eastAsia="微软雅黑" w:cs="微软雅黑"/>
        </w:rPr>
      </w:pPr>
      <w:r>
        <w:rPr>
          <w:rFonts w:hint="eastAsia" w:ascii="仿宋" w:hAnsi="仿宋" w:eastAsia="仿宋" w:cs="仿宋"/>
          <w:sz w:val="24"/>
          <w:szCs w:val="24"/>
          <w:bdr w:val="none" w:color="auto" w:sz="0" w:space="0"/>
        </w:rPr>
        <w:t>联 系 人：01包：王本寿；02包：李鹏飞</w:t>
      </w:r>
      <w:r>
        <w:rPr>
          <w:rFonts w:hint="eastAsia" w:ascii="微软雅黑" w:hAnsi="微软雅黑" w:eastAsia="微软雅黑" w:cs="微软雅黑"/>
          <w:bdr w:val="none" w:color="auto" w:sz="0" w:space="0"/>
        </w:rPr>
        <w:t> </w:t>
      </w:r>
      <w:r>
        <w:rPr>
          <w:rFonts w:hint="eastAsia" w:ascii="仿宋" w:hAnsi="仿宋" w:eastAsia="仿宋" w:cs="仿宋"/>
          <w:sz w:val="24"/>
          <w:szCs w:val="24"/>
          <w:bdr w:val="none" w:color="auto" w:sz="0" w:space="0"/>
        </w:rPr>
        <w:t>；03包：程强平；04包：冀天芹                        </w:t>
      </w:r>
    </w:p>
    <w:p w14:paraId="2A92F1C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firstLine="384"/>
        <w:rPr>
          <w:rFonts w:hint="eastAsia" w:ascii="微软雅黑" w:hAnsi="微软雅黑" w:eastAsia="微软雅黑" w:cs="微软雅黑"/>
        </w:rPr>
      </w:pPr>
      <w:r>
        <w:rPr>
          <w:rFonts w:hint="eastAsia" w:ascii="仿宋" w:hAnsi="仿宋" w:eastAsia="仿宋" w:cs="仿宋"/>
          <w:sz w:val="24"/>
          <w:szCs w:val="24"/>
          <w:bdr w:val="none" w:color="auto" w:sz="0" w:space="0"/>
        </w:rPr>
        <w:t>电    话：01包：15205691548；02包：15100425570；03包：18355297736；04包：15222657805                    </w:t>
      </w:r>
    </w:p>
    <w:p w14:paraId="0AC51ED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firstLine="384"/>
        <w:rPr>
          <w:rFonts w:hint="eastAsia" w:ascii="微软雅黑" w:hAnsi="微软雅黑" w:eastAsia="微软雅黑" w:cs="微软雅黑"/>
        </w:rPr>
      </w:pPr>
      <w:r>
        <w:rPr>
          <w:rFonts w:hint="eastAsia" w:ascii="仿宋" w:hAnsi="仿宋" w:eastAsia="仿宋" w:cs="仿宋"/>
          <w:sz w:val="24"/>
          <w:szCs w:val="24"/>
          <w:bdr w:val="none" w:color="auto" w:sz="0" w:space="0"/>
        </w:rPr>
        <w:t>10.2招标代理机构：安徽安天利信工程管理股份有限公司</w:t>
      </w:r>
    </w:p>
    <w:p w14:paraId="504939A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firstLine="384"/>
        <w:rPr>
          <w:rFonts w:hint="eastAsia" w:ascii="微软雅黑" w:hAnsi="微软雅黑" w:eastAsia="微软雅黑" w:cs="微软雅黑"/>
        </w:rPr>
      </w:pPr>
      <w:r>
        <w:rPr>
          <w:rFonts w:hint="eastAsia" w:ascii="仿宋" w:hAnsi="仿宋" w:eastAsia="仿宋" w:cs="仿宋"/>
          <w:sz w:val="24"/>
          <w:szCs w:val="24"/>
          <w:bdr w:val="none" w:color="auto" w:sz="0" w:space="0"/>
        </w:rPr>
        <w:t>地    址：合肥市蜀山区蜀鑫路69号安天利信总部基地604室  </w:t>
      </w:r>
    </w:p>
    <w:p w14:paraId="1C4FCB7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384"/>
        <w:rPr>
          <w:rFonts w:hint="eastAsia" w:ascii="微软雅黑" w:hAnsi="微软雅黑" w:eastAsia="微软雅黑" w:cs="微软雅黑"/>
        </w:rPr>
      </w:pPr>
      <w:r>
        <w:rPr>
          <w:rFonts w:hint="eastAsia" w:ascii="仿宋" w:hAnsi="仿宋" w:eastAsia="仿宋" w:cs="仿宋"/>
          <w:sz w:val="24"/>
          <w:szCs w:val="24"/>
          <w:bdr w:val="none" w:color="auto" w:sz="0" w:space="0"/>
        </w:rPr>
        <w:t>邮    编：230000</w:t>
      </w:r>
    </w:p>
    <w:p w14:paraId="375771B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firstLine="384"/>
        <w:rPr>
          <w:rFonts w:hint="eastAsia" w:ascii="微软雅黑" w:hAnsi="微软雅黑" w:eastAsia="微软雅黑" w:cs="微软雅黑"/>
        </w:rPr>
      </w:pPr>
      <w:r>
        <w:rPr>
          <w:rFonts w:hint="eastAsia" w:ascii="仿宋" w:hAnsi="仿宋" w:eastAsia="仿宋" w:cs="仿宋"/>
          <w:sz w:val="24"/>
          <w:szCs w:val="24"/>
          <w:bdr w:val="none" w:color="auto" w:sz="0" w:space="0"/>
        </w:rPr>
        <w:t>联 系 人：胡一楠、田倩                          </w:t>
      </w:r>
    </w:p>
    <w:p w14:paraId="1A57AE6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firstLine="384"/>
        <w:rPr>
          <w:rFonts w:hint="eastAsia" w:ascii="微软雅黑" w:hAnsi="微软雅黑" w:eastAsia="微软雅黑" w:cs="微软雅黑"/>
        </w:rPr>
      </w:pPr>
      <w:r>
        <w:rPr>
          <w:rFonts w:hint="eastAsia" w:ascii="仿宋" w:hAnsi="仿宋" w:eastAsia="仿宋" w:cs="仿宋"/>
          <w:sz w:val="24"/>
          <w:szCs w:val="24"/>
          <w:bdr w:val="none" w:color="auto" w:sz="0" w:space="0"/>
        </w:rPr>
        <w:t>电    话：0551-63736770</w:t>
      </w:r>
    </w:p>
    <w:p w14:paraId="57BABE5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firstLine="384"/>
        <w:rPr>
          <w:rFonts w:hint="eastAsia" w:ascii="微软雅黑" w:hAnsi="微软雅黑" w:eastAsia="微软雅黑" w:cs="微软雅黑"/>
        </w:rPr>
      </w:pPr>
      <w:r>
        <w:rPr>
          <w:rFonts w:hint="eastAsia" w:ascii="仿宋" w:hAnsi="仿宋" w:eastAsia="仿宋" w:cs="仿宋"/>
          <w:sz w:val="24"/>
          <w:szCs w:val="24"/>
          <w:bdr w:val="none" w:color="auto" w:sz="0" w:space="0"/>
        </w:rPr>
        <w:t>邮    箱：</w:t>
      </w:r>
      <w:r>
        <w:rPr>
          <w:rFonts w:hint="eastAsia" w:ascii="仿宋" w:hAnsi="仿宋" w:eastAsia="仿宋" w:cs="仿宋"/>
          <w:spacing w:val="0"/>
          <w:sz w:val="24"/>
          <w:szCs w:val="24"/>
          <w:bdr w:val="none" w:color="auto" w:sz="0" w:space="0"/>
          <w:shd w:val="clear" w:fill="FFFFFF"/>
        </w:rPr>
        <w:t>ynhu@ahbidding.com</w:t>
      </w:r>
      <w:r>
        <w:rPr>
          <w:rFonts w:hint="eastAsia" w:ascii="仿宋" w:hAnsi="仿宋" w:eastAsia="仿宋" w:cs="仿宋"/>
          <w:sz w:val="24"/>
          <w:szCs w:val="24"/>
          <w:bdr w:val="none" w:color="auto" w:sz="0" w:space="0"/>
        </w:rPr>
        <w:t>  </w:t>
      </w:r>
    </w:p>
    <w:p w14:paraId="4C8AAE6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8" w:lineRule="atLeast"/>
        <w:ind w:left="0" w:right="0" w:firstLine="384"/>
        <w:rPr>
          <w:rFonts w:hint="eastAsia" w:ascii="微软雅黑" w:hAnsi="微软雅黑" w:eastAsia="微软雅黑" w:cs="微软雅黑"/>
        </w:rPr>
      </w:pPr>
      <w:r>
        <w:rPr>
          <w:rFonts w:hint="eastAsia" w:ascii="仿宋" w:hAnsi="仿宋" w:eastAsia="仿宋" w:cs="仿宋"/>
          <w:sz w:val="24"/>
          <w:szCs w:val="24"/>
          <w:bdr w:val="none" w:color="auto" w:sz="0" w:space="0"/>
        </w:rPr>
        <w:t>10.3异议受理联系人</w:t>
      </w:r>
    </w:p>
    <w:p w14:paraId="6914BEC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8" w:lineRule="atLeast"/>
        <w:ind w:left="0" w:right="0" w:firstLine="348"/>
        <w:rPr>
          <w:rFonts w:hint="eastAsia" w:ascii="微软雅黑" w:hAnsi="微软雅黑" w:eastAsia="微软雅黑" w:cs="微软雅黑"/>
        </w:rPr>
      </w:pPr>
      <w:r>
        <w:rPr>
          <w:rFonts w:hint="eastAsia" w:ascii="仿宋" w:hAnsi="仿宋" w:eastAsia="仿宋" w:cs="仿宋"/>
          <w:sz w:val="24"/>
          <w:szCs w:val="24"/>
          <w:bdr w:val="none" w:color="auto" w:sz="0" w:space="0"/>
        </w:rPr>
        <w:t>招标代理机构：安徽安天利信工程管理股份有限公司</w:t>
      </w:r>
    </w:p>
    <w:p w14:paraId="541E2B4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8" w:lineRule="atLeast"/>
        <w:ind w:left="0" w:right="0" w:firstLine="348"/>
        <w:rPr>
          <w:rFonts w:hint="eastAsia" w:ascii="微软雅黑" w:hAnsi="微软雅黑" w:eastAsia="微软雅黑" w:cs="微软雅黑"/>
        </w:rPr>
      </w:pPr>
      <w:r>
        <w:rPr>
          <w:rFonts w:hint="eastAsia" w:ascii="仿宋" w:hAnsi="仿宋" w:eastAsia="仿宋" w:cs="仿宋"/>
          <w:sz w:val="24"/>
          <w:szCs w:val="24"/>
          <w:bdr w:val="none" w:color="auto" w:sz="0" w:space="0"/>
        </w:rPr>
        <w:t>地    址：合肥市蜀山区蜀鑫路69号安天利信总部基地604室</w:t>
      </w:r>
    </w:p>
    <w:p w14:paraId="11CEC41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8" w:lineRule="atLeast"/>
        <w:ind w:left="0" w:right="0" w:firstLine="348"/>
        <w:rPr>
          <w:rFonts w:hint="eastAsia" w:ascii="微软雅黑" w:hAnsi="微软雅黑" w:eastAsia="微软雅黑" w:cs="微软雅黑"/>
        </w:rPr>
      </w:pPr>
      <w:r>
        <w:rPr>
          <w:rFonts w:hint="eastAsia" w:ascii="仿宋" w:hAnsi="仿宋" w:eastAsia="仿宋" w:cs="仿宋"/>
          <w:sz w:val="24"/>
          <w:szCs w:val="24"/>
          <w:bdr w:val="none" w:color="auto" w:sz="0" w:space="0"/>
        </w:rPr>
        <w:t>联 系 人：胡一楠、田倩                            </w:t>
      </w:r>
    </w:p>
    <w:p w14:paraId="1993DA1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8" w:lineRule="atLeast"/>
        <w:ind w:left="0" w:right="0" w:firstLine="348"/>
        <w:rPr>
          <w:rFonts w:hint="eastAsia" w:ascii="微软雅黑" w:hAnsi="微软雅黑" w:eastAsia="微软雅黑" w:cs="微软雅黑"/>
        </w:rPr>
      </w:pPr>
      <w:r>
        <w:rPr>
          <w:rFonts w:hint="eastAsia" w:ascii="仿宋" w:hAnsi="仿宋" w:eastAsia="仿宋" w:cs="仿宋"/>
          <w:sz w:val="24"/>
          <w:szCs w:val="24"/>
          <w:bdr w:val="none" w:color="auto" w:sz="0" w:space="0"/>
        </w:rPr>
        <w:t>电    话：0551-63736770   </w:t>
      </w:r>
    </w:p>
    <w:p w14:paraId="5C9DDD5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8" w:lineRule="atLeast"/>
        <w:ind w:left="0" w:right="0" w:firstLine="384"/>
        <w:rPr>
          <w:rFonts w:hint="eastAsia" w:ascii="微软雅黑" w:hAnsi="微软雅黑" w:eastAsia="微软雅黑" w:cs="微软雅黑"/>
        </w:rPr>
      </w:pPr>
      <w:r>
        <w:rPr>
          <w:rFonts w:hint="eastAsia" w:ascii="仿宋" w:hAnsi="仿宋" w:eastAsia="仿宋" w:cs="仿宋"/>
          <w:sz w:val="24"/>
          <w:szCs w:val="24"/>
          <w:bdr w:val="none" w:color="auto" w:sz="0" w:space="0"/>
        </w:rPr>
        <w:t>注：如对本项目有投诉的，投诉联系方式见异议回复函。</w:t>
      </w:r>
    </w:p>
    <w:p w14:paraId="4795768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rPr>
          <w:rFonts w:hint="eastAsia" w:ascii="微软雅黑" w:hAnsi="微软雅黑" w:eastAsia="微软雅黑" w:cs="微软雅黑"/>
        </w:rPr>
      </w:pPr>
      <w:r>
        <w:rPr>
          <w:rStyle w:val="7"/>
          <w:rFonts w:hint="eastAsia" w:ascii="仿宋" w:hAnsi="仿宋" w:eastAsia="仿宋" w:cs="仿宋"/>
          <w:b/>
          <w:sz w:val="31"/>
          <w:szCs w:val="31"/>
          <w:bdr w:val="none" w:color="auto" w:sz="0" w:space="0"/>
        </w:rPr>
        <w:t>11.其他事项说明</w:t>
      </w:r>
    </w:p>
    <w:p w14:paraId="6EFDBB3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96" w:beforeAutospacing="0" w:after="192" w:afterAutospacing="0"/>
        <w:ind w:left="0" w:right="0" w:firstLine="384"/>
        <w:rPr>
          <w:rFonts w:hint="eastAsia" w:ascii="微软雅黑" w:hAnsi="微软雅黑" w:eastAsia="微软雅黑" w:cs="微软雅黑"/>
        </w:rPr>
      </w:pPr>
      <w:r>
        <w:rPr>
          <w:rFonts w:hint="eastAsia" w:ascii="仿宋" w:hAnsi="仿宋" w:eastAsia="仿宋" w:cs="仿宋"/>
          <w:sz w:val="24"/>
          <w:szCs w:val="24"/>
          <w:bdr w:val="none" w:color="auto" w:sz="0" w:space="0"/>
        </w:rPr>
        <w:t>投标人应合理安排招标文件获取时间，特别是网络速度慢的地区防止在系统关闭前网络拥堵无法操作。如果因计算机及网络故障造成无法完成招标文件获取，责任自负。</w:t>
      </w:r>
    </w:p>
    <w:p w14:paraId="0684DAC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微软雅黑" w:hAnsi="微软雅黑" w:eastAsia="微软雅黑" w:cs="微软雅黑"/>
        </w:rPr>
      </w:pPr>
    </w:p>
    <w:p w14:paraId="70994EC8">
      <w:pPr>
        <w:rPr>
          <w:rFonts w:hint="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9"/>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BCF3A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3">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4">
    <w:name w:val="Normal (Web)"/>
    <w:basedOn w:val="1"/>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 w:type="character" w:styleId="8">
    <w:name w:val="Hyperlink"/>
    <w:basedOn w:val="6"/>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1</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2026-08-19T09:28:50Z</dcterms:created>
  <dc:creator>lding</dc:creator>
  <cp:lastModifiedBy>代理机构</cp:lastModifiedBy>
  <dcterms:modified xsi:type="dcterms:W3CDTF">2026-08-19T09:30:50Z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eyJoZGlkIjoiOTAwN2QxOGM5OTU2NzYwMWQxNzVjNGJiYWEwMDJhMzAiLCJ1c2VySWQiOiIxNDIzOTUyOTU4In0=</vt:lpwstr>
  </property>
  <property fmtid="{D5CDD505-2E9C-101B-9397-08002B2CF9AE}" pid="4" name="ICV">
    <vt:lpwstr>23E633C36CAE4D489757FBCC9F578070_12</vt:lpwstr>
  </property>
</Properties>
</file>