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CAD03">
      <w:pPr>
        <w:widowControl w:val="0"/>
        <w:spacing w:before="240" w:beforeLines="100" w:after="240" w:afterLines="100"/>
        <w:jc w:val="center"/>
        <w:rPr>
          <w:rFonts w:hint="eastAsia" w:ascii="Times New Roman" w:hAnsi="Times New Roman" w:eastAsia="黑体" w:cs="Times New Roman"/>
          <w:i/>
          <w:iCs/>
          <w:color w:val="auto"/>
          <w:sz w:val="18"/>
          <w:szCs w:val="18"/>
          <w:highlight w:val="none"/>
          <w:u w:val="single"/>
          <w:lang w:val="en-US" w:eastAsia="zh-CN" w:bidi="ar-SA"/>
        </w:rPr>
      </w:pPr>
      <w:bookmarkStart w:id="0" w:name="_Toc29561"/>
      <w:bookmarkStart w:id="1" w:name="_Toc21186"/>
      <w:r>
        <w:rPr>
          <w:rFonts w:hint="eastAsia" w:ascii="Times New Roman" w:hAnsi="Times New Roman" w:eastAsia="黑体" w:cs="黑体"/>
          <w:color w:val="auto"/>
          <w:sz w:val="32"/>
          <w:szCs w:val="32"/>
          <w:highlight w:val="none"/>
          <w:lang w:val="en-US" w:eastAsia="zh-CN" w:bidi="ar-SA"/>
        </w:rPr>
        <w:t>安徽和鼎机电设备有限公司肥西县和鼎机电分布式光伏发电项目招标公告</w:t>
      </w:r>
      <w:bookmarkEnd w:id="0"/>
      <w:bookmarkEnd w:id="1"/>
    </w:p>
    <w:p w14:paraId="57168882">
      <w:pPr>
        <w:pStyle w:val="2"/>
        <w:keepNext/>
        <w:keepLines/>
        <w:pageBreakBefore w:val="0"/>
        <w:widowControl w:val="0"/>
        <w:kinsoku/>
        <w:wordWrap/>
        <w:overflowPunct/>
        <w:topLinePunct w:val="0"/>
        <w:autoSpaceDE/>
        <w:autoSpaceDN/>
        <w:bidi w:val="0"/>
        <w:adjustRightInd/>
        <w:snapToGrid/>
        <w:spacing w:before="240" w:after="240"/>
        <w:textAlignment w:val="auto"/>
        <w:rPr>
          <w:rFonts w:hint="eastAsia" w:ascii="Times New Roman" w:hAnsi="Times New Roman" w:cs="黑体"/>
          <w:b w:val="0"/>
          <w:bCs w:val="0"/>
          <w:color w:val="auto"/>
          <w:highlight w:val="none"/>
        </w:rPr>
      </w:pPr>
      <w:bookmarkStart w:id="2" w:name="_Toc6391"/>
      <w:bookmarkStart w:id="3" w:name="_Toc10622"/>
      <w:bookmarkStart w:id="4" w:name="_Toc14694"/>
      <w:bookmarkStart w:id="5" w:name="_Toc26472"/>
      <w:r>
        <w:rPr>
          <w:rFonts w:hint="eastAsia" w:ascii="Times New Roman" w:hAnsi="Times New Roman" w:cs="黑体"/>
          <w:b w:val="0"/>
          <w:bCs w:val="0"/>
          <w:color w:val="auto"/>
          <w:highlight w:val="none"/>
        </w:rPr>
        <w:t>1.招标条件</w:t>
      </w:r>
      <w:bookmarkEnd w:id="2"/>
      <w:bookmarkEnd w:id="3"/>
      <w:bookmarkEnd w:id="4"/>
      <w:bookmarkEnd w:id="5"/>
    </w:p>
    <w:p w14:paraId="42076D42">
      <w:pPr>
        <w:spacing w:line="360" w:lineRule="auto"/>
        <w:ind w:firstLine="437"/>
        <w:rPr>
          <w:rFonts w:hint="eastAsia" w:ascii="Times New Roman" w:hAnsi="Times New Roman" w:eastAsia="宋体" w:cs="宋体"/>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1.1 项目名称：安徽和鼎机电设备有限公司肥西县和鼎机电分布式光伏发电项目</w:t>
      </w:r>
    </w:p>
    <w:p w14:paraId="3801A811">
      <w:pPr>
        <w:spacing w:line="360" w:lineRule="auto"/>
        <w:ind w:firstLine="437"/>
        <w:rPr>
          <w:rFonts w:hint="default" w:ascii="Times New Roman" w:hAnsi="Times New Roman" w:eastAsia="宋体" w:cs="宋体"/>
          <w:color w:val="auto"/>
          <w:kern w:val="2"/>
          <w:szCs w:val="24"/>
          <w:highlight w:val="none"/>
          <w:u w:val="none"/>
          <w:lang w:val="en-US" w:eastAsia="zh-CN"/>
        </w:rPr>
      </w:pPr>
      <w:r>
        <w:rPr>
          <w:rFonts w:hint="eastAsia" w:ascii="Times New Roman" w:hAnsi="Times New Roman" w:eastAsia="宋体" w:cs="宋体"/>
          <w:bCs/>
          <w:snapToGrid w:val="0"/>
          <w:color w:val="auto"/>
          <w:kern w:val="2"/>
          <w:szCs w:val="24"/>
          <w:highlight w:val="none"/>
          <w:u w:val="none"/>
        </w:rPr>
        <w:t>1.2 项目审批、核准或备案机关名称：</w:t>
      </w:r>
      <w:r>
        <w:rPr>
          <w:rFonts w:hint="eastAsia" w:ascii="Times New Roman" w:hAnsi="Times New Roman" w:eastAsia="宋体" w:cs="宋体"/>
          <w:bCs/>
          <w:snapToGrid w:val="0"/>
          <w:color w:val="auto"/>
          <w:kern w:val="2"/>
          <w:szCs w:val="24"/>
          <w:highlight w:val="none"/>
          <w:u w:val="none"/>
          <w:lang w:val="en-US" w:eastAsia="zh-CN"/>
        </w:rPr>
        <w:t>肥西县发展和改革委员会</w:t>
      </w:r>
    </w:p>
    <w:p w14:paraId="650C0F0F">
      <w:pPr>
        <w:spacing w:line="360" w:lineRule="auto"/>
        <w:ind w:firstLine="437"/>
        <w:rPr>
          <w:rFonts w:ascii="Times New Roman" w:hAnsi="Times New Roman" w:eastAsia="宋体" w:cs="宋体"/>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1.3 批文名称及编号：肥西县发展改革委备案表</w:t>
      </w:r>
      <w:r>
        <w:rPr>
          <w:rFonts w:hint="eastAsia" w:ascii="Times New Roman" w:hAnsi="Times New Roman" w:eastAsia="宋体" w:cs="宋体"/>
          <w:bCs/>
          <w:snapToGrid w:val="0"/>
          <w:color w:val="auto"/>
          <w:kern w:val="2"/>
          <w:szCs w:val="24"/>
          <w:highlight w:val="none"/>
          <w:u w:val="none"/>
          <w:lang w:val="en-US" w:eastAsia="zh-CN"/>
        </w:rPr>
        <w:t>，2603-340123-04-05-647995</w:t>
      </w:r>
    </w:p>
    <w:p w14:paraId="6BE8A454">
      <w:pPr>
        <w:spacing w:line="360" w:lineRule="auto"/>
        <w:ind w:firstLine="437"/>
        <w:rPr>
          <w:rFonts w:hint="eastAsia" w:ascii="Times New Roman" w:hAnsi="Times New Roman" w:eastAsia="宋体" w:cs="宋体"/>
          <w:color w:val="auto"/>
          <w:kern w:val="2"/>
          <w:szCs w:val="24"/>
          <w:highlight w:val="none"/>
          <w:u w:val="none"/>
          <w:lang w:eastAsia="zh-CN"/>
        </w:rPr>
      </w:pPr>
      <w:r>
        <w:rPr>
          <w:rFonts w:hint="eastAsia" w:ascii="Times New Roman" w:hAnsi="Times New Roman" w:eastAsia="宋体" w:cs="宋体"/>
          <w:bCs/>
          <w:snapToGrid w:val="0"/>
          <w:color w:val="auto"/>
          <w:kern w:val="2"/>
          <w:szCs w:val="24"/>
          <w:highlight w:val="none"/>
          <w:u w:val="none"/>
        </w:rPr>
        <w:t>1.4 招标人：</w:t>
      </w:r>
      <w:r>
        <w:rPr>
          <w:rFonts w:hint="eastAsia" w:ascii="Times New Roman" w:hAnsi="Times New Roman" w:eastAsia="宋体" w:cs="宋体"/>
          <w:color w:val="auto"/>
          <w:kern w:val="2"/>
          <w:szCs w:val="24"/>
          <w:highlight w:val="none"/>
          <w:u w:val="none"/>
          <w:lang w:eastAsia="zh-CN"/>
        </w:rPr>
        <w:t>安徽和鼎机电设备有限公司</w:t>
      </w:r>
    </w:p>
    <w:p w14:paraId="537D9F24">
      <w:pPr>
        <w:spacing w:line="360" w:lineRule="auto"/>
        <w:ind w:firstLine="437"/>
        <w:rPr>
          <w:rFonts w:hint="eastAsia" w:ascii="Times New Roman" w:hAnsi="Times New Roman" w:eastAsia="宋体" w:cs="宋体"/>
          <w:color w:val="auto"/>
          <w:kern w:val="2"/>
          <w:szCs w:val="24"/>
          <w:highlight w:val="none"/>
          <w:u w:val="none"/>
          <w:lang w:eastAsia="zh-CN"/>
        </w:rPr>
      </w:pPr>
      <w:r>
        <w:rPr>
          <w:rFonts w:hint="eastAsia" w:ascii="Times New Roman" w:hAnsi="Times New Roman" w:eastAsia="宋体" w:cs="宋体"/>
          <w:bCs/>
          <w:snapToGrid w:val="0"/>
          <w:color w:val="auto"/>
          <w:kern w:val="2"/>
          <w:szCs w:val="24"/>
          <w:highlight w:val="none"/>
          <w:u w:val="none"/>
        </w:rPr>
        <w:t>1.5 项目业主：</w:t>
      </w:r>
      <w:r>
        <w:rPr>
          <w:rFonts w:hint="eastAsia" w:ascii="Times New Roman" w:hAnsi="Times New Roman" w:eastAsia="宋体" w:cs="宋体"/>
          <w:color w:val="auto"/>
          <w:kern w:val="2"/>
          <w:szCs w:val="24"/>
          <w:highlight w:val="none"/>
          <w:u w:val="none"/>
          <w:lang w:eastAsia="zh-CN"/>
        </w:rPr>
        <w:t>安徽和鼎机电设备有限公司</w:t>
      </w:r>
    </w:p>
    <w:p w14:paraId="4B60A5CF">
      <w:pPr>
        <w:spacing w:line="360" w:lineRule="auto"/>
        <w:ind w:firstLine="437"/>
        <w:rPr>
          <w:rFonts w:ascii="Times New Roman" w:hAnsi="Times New Roman" w:eastAsia="宋体" w:cs="Times New Roman"/>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1.6 资金来源：自筹</w:t>
      </w:r>
    </w:p>
    <w:p w14:paraId="1A71F711">
      <w:pPr>
        <w:spacing w:line="360" w:lineRule="auto"/>
        <w:ind w:firstLine="437"/>
        <w:rPr>
          <w:rFonts w:hint="eastAsia" w:ascii="Times New Roman" w:hAnsi="Times New Roman" w:eastAsia="宋体" w:cs="宋体"/>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1.7 项目出资比例：</w:t>
      </w:r>
      <w:r>
        <w:rPr>
          <w:rFonts w:hint="eastAsia" w:ascii="Times New Roman" w:hAnsi="Times New Roman" w:eastAsia="宋体" w:cs="宋体"/>
          <w:color w:val="auto"/>
          <w:kern w:val="2"/>
          <w:szCs w:val="24"/>
          <w:highlight w:val="none"/>
          <w:u w:val="none"/>
        </w:rPr>
        <w:t>100%</w:t>
      </w:r>
    </w:p>
    <w:p w14:paraId="715B2918">
      <w:pPr>
        <w:spacing w:line="360" w:lineRule="auto"/>
        <w:ind w:firstLine="437"/>
        <w:rPr>
          <w:rFonts w:hint="eastAsia" w:ascii="Times New Roman" w:hAnsi="Times New Roman" w:eastAsia="宋体" w:cs="Times New Roman"/>
          <w:color w:val="auto"/>
          <w:highlight w:val="none"/>
          <w:u w:val="none"/>
        </w:rPr>
      </w:pPr>
      <w:r>
        <w:rPr>
          <w:rFonts w:hint="eastAsia" w:ascii="Times New Roman" w:hAnsi="Times New Roman" w:eastAsia="宋体" w:cs="宋体"/>
          <w:bCs/>
          <w:snapToGrid w:val="0"/>
          <w:color w:val="auto"/>
          <w:kern w:val="2"/>
          <w:szCs w:val="24"/>
          <w:highlight w:val="none"/>
          <w:u w:val="none"/>
        </w:rPr>
        <w:t xml:space="preserve">1.8 </w:t>
      </w:r>
      <w:r>
        <w:rPr>
          <w:rFonts w:hint="eastAsia" w:ascii="Times New Roman" w:hAnsi="Times New Roman" w:eastAsia="宋体" w:cs="Times New Roman"/>
          <w:color w:val="auto"/>
          <w:kern w:val="2"/>
          <w:szCs w:val="24"/>
          <w:highlight w:val="none"/>
          <w:u w:val="none"/>
        </w:rPr>
        <w:t>资金落实情况</w:t>
      </w:r>
      <w:r>
        <w:rPr>
          <w:rFonts w:hint="eastAsia" w:ascii="Times New Roman" w:hAnsi="Times New Roman" w:eastAsia="宋体" w:cs="宋体"/>
          <w:bCs/>
          <w:snapToGrid w:val="0"/>
          <w:color w:val="auto"/>
          <w:kern w:val="2"/>
          <w:szCs w:val="24"/>
          <w:highlight w:val="none"/>
          <w:u w:val="none"/>
        </w:rPr>
        <w:t>：</w:t>
      </w:r>
      <w:r>
        <w:rPr>
          <w:rFonts w:hint="eastAsia" w:ascii="Times New Roman" w:hAnsi="Times New Roman" w:eastAsia="宋体" w:cs="宋体"/>
          <w:color w:val="auto"/>
          <w:kern w:val="2"/>
          <w:szCs w:val="24"/>
          <w:highlight w:val="none"/>
          <w:u w:val="none"/>
        </w:rPr>
        <w:t>已落实</w:t>
      </w:r>
    </w:p>
    <w:p w14:paraId="1CD7FC76">
      <w:pPr>
        <w:pStyle w:val="2"/>
        <w:spacing w:before="240" w:after="240"/>
        <w:rPr>
          <w:rFonts w:hint="eastAsia" w:ascii="Times New Roman" w:hAnsi="Times New Roman" w:cs="黑体"/>
          <w:b w:val="0"/>
          <w:bCs w:val="0"/>
          <w:color w:val="auto"/>
          <w:highlight w:val="none"/>
          <w:u w:val="none"/>
        </w:rPr>
      </w:pPr>
      <w:bookmarkStart w:id="6" w:name="_Toc4559"/>
      <w:bookmarkStart w:id="7" w:name="_Toc15705"/>
      <w:bookmarkStart w:id="8" w:name="_Toc2037"/>
      <w:bookmarkStart w:id="9" w:name="_Toc12572"/>
      <w:r>
        <w:rPr>
          <w:rFonts w:hint="eastAsia" w:ascii="Times New Roman" w:hAnsi="Times New Roman" w:cs="黑体"/>
          <w:b w:val="0"/>
          <w:bCs w:val="0"/>
          <w:color w:val="auto"/>
          <w:highlight w:val="none"/>
          <w:u w:val="none"/>
        </w:rPr>
        <w:t>2.项目概况与招标范围</w:t>
      </w:r>
      <w:bookmarkEnd w:id="6"/>
      <w:bookmarkEnd w:id="7"/>
      <w:bookmarkEnd w:id="8"/>
      <w:bookmarkEnd w:id="9"/>
    </w:p>
    <w:p w14:paraId="5490760F">
      <w:pPr>
        <w:spacing w:line="360" w:lineRule="auto"/>
        <w:ind w:firstLine="480" w:firstLineChars="200"/>
        <w:rPr>
          <w:rFonts w:ascii="Times New Roman" w:hAnsi="Times New Roman" w:eastAsia="宋体" w:cs="Times New Roman"/>
          <w:color w:val="auto"/>
          <w:kern w:val="0"/>
          <w:szCs w:val="24"/>
          <w:highlight w:val="none"/>
          <w:u w:val="none"/>
        </w:rPr>
      </w:pPr>
      <w:bookmarkStart w:id="10" w:name="_Toc13105"/>
      <w:bookmarkStart w:id="11" w:name="_Toc57"/>
      <w:bookmarkStart w:id="12" w:name="_Toc19143"/>
      <w:r>
        <w:rPr>
          <w:rFonts w:hint="eastAsia" w:ascii="Times New Roman" w:hAnsi="Times New Roman" w:eastAsia="宋体" w:cs="楷体"/>
          <w:bCs/>
          <w:snapToGrid w:val="0"/>
          <w:color w:val="auto"/>
          <w:kern w:val="0"/>
          <w:szCs w:val="24"/>
          <w:highlight w:val="none"/>
          <w:u w:val="none"/>
        </w:rPr>
        <w:t>2.1 招标项目名称：安徽和鼎机电设备有限公司肥西县和鼎机电分布式光伏发电项目</w:t>
      </w:r>
    </w:p>
    <w:p w14:paraId="76CA7712">
      <w:pPr>
        <w:spacing w:line="360" w:lineRule="auto"/>
        <w:ind w:firstLine="480" w:firstLineChars="200"/>
        <w:rPr>
          <w:rFonts w:ascii="Times New Roman" w:hAnsi="Times New Roman" w:eastAsia="宋体" w:cs="楷体"/>
          <w:bCs/>
          <w:snapToGrid w:val="0"/>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2.2 招标项目编号：</w:t>
      </w:r>
      <w:r>
        <w:rPr>
          <w:rFonts w:hint="eastAsia" w:ascii="宋体" w:hAnsi="Times New Roman" w:eastAsia="宋体" w:cs="楷体"/>
          <w:bCs/>
          <w:snapToGrid w:val="0"/>
          <w:color w:val="auto"/>
          <w:kern w:val="0"/>
          <w:szCs w:val="20"/>
          <w:highlight w:val="none"/>
          <w:u w:val="none"/>
          <w:lang w:eastAsia="zh-CN"/>
        </w:rPr>
        <w:t>2026BFAGZ50845</w:t>
      </w:r>
    </w:p>
    <w:p w14:paraId="453C6E39">
      <w:pPr>
        <w:spacing w:line="360" w:lineRule="auto"/>
        <w:ind w:firstLine="480" w:firstLineChars="200"/>
        <w:rPr>
          <w:rFonts w:hint="default" w:ascii="Times New Roman" w:hAnsi="Times New Roman" w:eastAsia="宋体" w:cs="Times New Roman"/>
          <w:color w:val="auto"/>
          <w:kern w:val="0"/>
          <w:szCs w:val="24"/>
          <w:highlight w:val="none"/>
          <w:u w:val="none"/>
          <w:lang w:val="en-US"/>
        </w:rPr>
      </w:pPr>
      <w:r>
        <w:rPr>
          <w:rFonts w:hint="eastAsia" w:ascii="Times New Roman" w:hAnsi="Times New Roman" w:eastAsia="宋体" w:cs="楷体"/>
          <w:bCs/>
          <w:snapToGrid w:val="0"/>
          <w:color w:val="auto"/>
          <w:kern w:val="0"/>
          <w:szCs w:val="24"/>
          <w:highlight w:val="none"/>
          <w:u w:val="none"/>
        </w:rPr>
        <w:t>2.3 标段划分：</w:t>
      </w:r>
      <w:r>
        <w:rPr>
          <w:rFonts w:hint="eastAsia" w:ascii="宋体" w:hAnsi="Times New Roman" w:eastAsia="宋体" w:cs="Times New Roman"/>
          <w:color w:val="auto"/>
          <w:kern w:val="0"/>
          <w:szCs w:val="20"/>
          <w:highlight w:val="none"/>
          <w:u w:val="none"/>
        </w:rPr>
        <w:t>本招标项目共划分1个标段</w:t>
      </w:r>
    </w:p>
    <w:p w14:paraId="66283F21">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2.4 招标项目标段编号：</w:t>
      </w:r>
      <w:r>
        <w:rPr>
          <w:rFonts w:hint="eastAsia" w:ascii="宋体" w:hAnsi="Times New Roman" w:eastAsia="宋体" w:cs="楷体"/>
          <w:bCs/>
          <w:snapToGrid w:val="0"/>
          <w:color w:val="auto"/>
          <w:kern w:val="0"/>
          <w:szCs w:val="20"/>
          <w:highlight w:val="none"/>
          <w:u w:val="none"/>
          <w:lang w:eastAsia="zh-CN"/>
        </w:rPr>
        <w:t>2026BFAGZ50845</w:t>
      </w:r>
    </w:p>
    <w:p w14:paraId="0E04CB7F">
      <w:pPr>
        <w:spacing w:line="360" w:lineRule="auto"/>
        <w:ind w:firstLine="480" w:firstLineChars="200"/>
        <w:rPr>
          <w:rFonts w:hint="eastAsia" w:ascii="宋体" w:hAnsi="宋体" w:eastAsia="宋体" w:cs="宋体"/>
          <w:b/>
          <w:bCs/>
          <w:i/>
          <w:iCs/>
          <w:color w:val="auto"/>
          <w:kern w:val="2"/>
          <w:sz w:val="24"/>
          <w:szCs w:val="24"/>
          <w:highlight w:val="none"/>
          <w:u w:val="none"/>
          <w:shd w:val="clear" w:color="FFFFFF" w:fill="D9D9D9"/>
          <w:lang w:val="en-US" w:eastAsia="zh-CN" w:bidi="ar-SA"/>
        </w:rPr>
      </w:pPr>
      <w:r>
        <w:rPr>
          <w:rFonts w:hint="eastAsia" w:ascii="Times New Roman" w:hAnsi="Times New Roman" w:eastAsia="宋体" w:cs="楷体"/>
          <w:bCs/>
          <w:snapToGrid w:val="0"/>
          <w:color w:val="auto"/>
          <w:kern w:val="0"/>
          <w:szCs w:val="24"/>
          <w:highlight w:val="none"/>
          <w:u w:val="none"/>
        </w:rPr>
        <w:t>2.5 建设地点：</w:t>
      </w:r>
      <w:r>
        <w:rPr>
          <w:rFonts w:hint="eastAsia" w:ascii="宋体" w:hAnsi="Times New Roman" w:eastAsia="宋体" w:cs="楷体"/>
          <w:bCs/>
          <w:snapToGrid w:val="0"/>
          <w:color w:val="auto"/>
          <w:kern w:val="0"/>
          <w:szCs w:val="20"/>
          <w:highlight w:val="none"/>
          <w:u w:val="none"/>
        </w:rPr>
        <w:t>肥西县，经济开发区汤口路40号安徽和鼎机电设备有限公司。</w:t>
      </w:r>
    </w:p>
    <w:p w14:paraId="53321695">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2.6 建设规模：项目利用安徽和鼎机电设备有限公司1、2号车间屋顶总面积约19000平方米，预计占用面积15000平方米，建设分布式光伏发电系统及相关配套设施等，直流侧总装机容量约1924.02kWp，交流侧总装机容量约1.6MW，采用“自发自用、余电上网”并网模式，年平均发电量约200万kWh左右。该项目最终并网容量以供电公司审定为准。</w:t>
      </w:r>
      <w:r>
        <w:rPr>
          <w:rFonts w:hint="eastAsia" w:ascii="Times New Roman" w:hAnsi="Times New Roman" w:eastAsia="宋体" w:cs="楷体"/>
          <w:bCs/>
          <w:snapToGrid w:val="0"/>
          <w:color w:val="auto"/>
          <w:kern w:val="0"/>
          <w:szCs w:val="24"/>
          <w:highlight w:val="none"/>
          <w:u w:val="none"/>
          <w:lang w:val="en-US" w:eastAsia="zh-CN"/>
        </w:rPr>
        <w:t>并网电压等级不超过10kV。</w:t>
      </w:r>
      <w:r>
        <w:rPr>
          <w:rFonts w:hint="eastAsia" w:ascii="Times New Roman" w:hAnsi="Times New Roman" w:eastAsia="宋体" w:cs="楷体"/>
          <w:bCs/>
          <w:snapToGrid w:val="0"/>
          <w:color w:val="auto"/>
          <w:kern w:val="0"/>
          <w:szCs w:val="24"/>
          <w:highlight w:val="none"/>
          <w:u w:val="none"/>
        </w:rPr>
        <w:t>光伏系统整体设计使用寿命25年，满足长期稳定运行要求。</w:t>
      </w:r>
    </w:p>
    <w:p w14:paraId="21D6925B">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2.7 合同估算价：450万元</w:t>
      </w:r>
    </w:p>
    <w:p w14:paraId="00DECB15">
      <w:pPr>
        <w:spacing w:line="360" w:lineRule="auto"/>
        <w:ind w:firstLine="480" w:firstLineChars="200"/>
        <w:rPr>
          <w:rFonts w:hint="eastAsia" w:ascii="Times New Roman" w:hAnsi="Times New Roman" w:eastAsia="宋体" w:cs="Times New Roman"/>
          <w:color w:val="auto"/>
          <w:kern w:val="0"/>
          <w:szCs w:val="24"/>
          <w:highlight w:val="none"/>
          <w:u w:val="none"/>
          <w:lang w:val="en-US" w:eastAsia="zh-CN"/>
        </w:rPr>
      </w:pPr>
      <w:r>
        <w:rPr>
          <w:rFonts w:hint="eastAsia" w:ascii="Times New Roman" w:hAnsi="Times New Roman" w:eastAsia="宋体" w:cs="楷体"/>
          <w:bCs/>
          <w:snapToGrid w:val="0"/>
          <w:color w:val="auto"/>
          <w:kern w:val="0"/>
          <w:szCs w:val="24"/>
          <w:highlight w:val="none"/>
          <w:u w:val="none"/>
        </w:rPr>
        <w:t>2.8 计划工期：</w:t>
      </w:r>
      <w:r>
        <w:rPr>
          <w:rFonts w:hint="eastAsia" w:ascii="Times New Roman" w:hAnsi="Times New Roman" w:eastAsia="宋体" w:cs="楷体"/>
          <w:bCs/>
          <w:snapToGrid w:val="0"/>
          <w:color w:val="auto"/>
          <w:kern w:val="0"/>
          <w:szCs w:val="24"/>
          <w:highlight w:val="none"/>
          <w:u w:val="none"/>
          <w:lang w:val="en-US" w:eastAsia="zh-CN"/>
        </w:rPr>
        <w:t>120</w:t>
      </w:r>
      <w:r>
        <w:rPr>
          <w:rFonts w:hint="eastAsia" w:ascii="Times New Roman" w:hAnsi="Times New Roman" w:eastAsia="宋体" w:cs="楷体"/>
          <w:bCs/>
          <w:snapToGrid w:val="0"/>
          <w:color w:val="auto"/>
          <w:kern w:val="0"/>
          <w:szCs w:val="24"/>
          <w:highlight w:val="none"/>
          <w:u w:val="none"/>
        </w:rPr>
        <w:t>日历天</w:t>
      </w:r>
    </w:p>
    <w:p w14:paraId="5CB03F56">
      <w:pPr>
        <w:spacing w:line="360" w:lineRule="auto"/>
        <w:ind w:firstLine="480" w:firstLineChars="200"/>
        <w:rPr>
          <w:rFonts w:hint="default" w:ascii="宋体" w:hAnsi="宋体" w:eastAsia="宋体" w:cs="宋体"/>
          <w:b/>
          <w:bCs/>
          <w:i/>
          <w:iCs/>
          <w:color w:val="auto"/>
          <w:kern w:val="2"/>
          <w:sz w:val="24"/>
          <w:szCs w:val="24"/>
          <w:highlight w:val="none"/>
          <w:u w:val="none"/>
          <w:shd w:val="clear" w:color="FFFFFF" w:fill="D9D9D9"/>
          <w:lang w:val="en-US" w:eastAsia="zh-CN" w:bidi="ar-SA"/>
        </w:rPr>
      </w:pPr>
      <w:r>
        <w:rPr>
          <w:rFonts w:hint="eastAsia" w:ascii="Times New Roman" w:hAnsi="Times New Roman" w:eastAsia="宋体" w:cs="楷体"/>
          <w:bCs/>
          <w:snapToGrid w:val="0"/>
          <w:color w:val="auto"/>
          <w:kern w:val="0"/>
          <w:szCs w:val="24"/>
          <w:highlight w:val="none"/>
          <w:u w:val="none"/>
        </w:rPr>
        <w:t>2.9 招标范围：本工程为设计、采购、施工、调试、试运行等所有工作，包括但不限于工程设计（含初步设计、详细设计、施工图设计、非标件设计等）、进行荷载复核并提供证明文件、土建设计（包括完成本工程所有土建设计）、协助项目报批报建（所有需要与上级主管部门对接、报备、报批、报建的手续办理工作）、现场临时设施、设备材料采购供货、安装、软件编程、调试、性能考核、竣工验收、试运行、考核运行、光伏系统及储能系统外围接入部分的缺陷责任期内运维工作（储能设备本体除外）、消缺、最终交付以及运行维护人员培训等工程建设期间的全部内容，同时也应包括设备、材料的运输及仓储，施工用水、电、气等介质，劳务、管理、维护、保险、规费、政策性价格调整等费用，以及施工区域内所有道路、管线和场地排水等。</w:t>
      </w:r>
    </w:p>
    <w:p w14:paraId="614E1ED1">
      <w:pPr>
        <w:spacing w:line="360" w:lineRule="auto"/>
        <w:ind w:firstLine="480" w:firstLineChars="200"/>
        <w:rPr>
          <w:rFonts w:hint="default" w:ascii="宋体" w:hAnsi="宋体" w:eastAsia="宋体" w:cs="宋体"/>
          <w:b/>
          <w:bCs/>
          <w:i/>
          <w:iCs/>
          <w:color w:val="auto"/>
          <w:kern w:val="2"/>
          <w:sz w:val="24"/>
          <w:szCs w:val="24"/>
          <w:highlight w:val="none"/>
          <w:u w:val="none"/>
          <w:shd w:val="clear" w:color="FFFFFF" w:fill="D9D9D9"/>
          <w:lang w:val="en-US" w:eastAsia="zh-CN" w:bidi="ar-SA"/>
        </w:rPr>
      </w:pPr>
      <w:r>
        <w:rPr>
          <w:rFonts w:hint="eastAsia" w:ascii="Times New Roman" w:hAnsi="Times New Roman" w:eastAsia="宋体" w:cs="楷体"/>
          <w:bCs/>
          <w:snapToGrid w:val="0"/>
          <w:color w:val="auto"/>
          <w:kern w:val="0"/>
          <w:szCs w:val="24"/>
          <w:highlight w:val="none"/>
          <w:u w:val="none"/>
        </w:rPr>
        <w:t>2.10 项目类别：</w:t>
      </w:r>
      <w:r>
        <w:rPr>
          <w:rFonts w:hint="eastAsia" w:ascii="宋体" w:hAnsi="Times New Roman" w:eastAsia="宋体" w:cs="楷体"/>
          <w:bCs/>
          <w:snapToGrid w:val="0"/>
          <w:color w:val="auto"/>
          <w:kern w:val="0"/>
          <w:szCs w:val="20"/>
          <w:highlight w:val="none"/>
          <w:u w:val="none"/>
          <w:lang w:val="en-US" w:eastAsia="zh-CN"/>
        </w:rPr>
        <w:t>EPC</w:t>
      </w:r>
    </w:p>
    <w:p w14:paraId="001D2DF9">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2.11 质量标准：</w:t>
      </w:r>
      <w:r>
        <w:rPr>
          <w:rFonts w:hint="eastAsia" w:ascii="Times New Roman" w:hAnsi="Times New Roman" w:eastAsia="宋体" w:cs="Times New Roman"/>
          <w:color w:val="auto"/>
          <w:kern w:val="0"/>
          <w:szCs w:val="24"/>
          <w:highlight w:val="none"/>
          <w:u w:val="none"/>
        </w:rPr>
        <w:t xml:space="preserve">  </w:t>
      </w:r>
      <w:r>
        <w:rPr>
          <w:rFonts w:hint="eastAsia" w:ascii="Times New Roman" w:hAnsi="Times New Roman" w:eastAsia="宋体" w:cs="Times New Roman"/>
          <w:color w:val="auto"/>
          <w:kern w:val="0"/>
          <w:szCs w:val="24"/>
          <w:highlight w:val="none"/>
          <w:u w:val="none"/>
          <w:lang w:val="en-US" w:eastAsia="zh-CN"/>
        </w:rPr>
        <w:t xml:space="preserve">     合格</w:t>
      </w:r>
      <w:r>
        <w:rPr>
          <w:rFonts w:hint="eastAsia" w:ascii="Times New Roman" w:hAnsi="Times New Roman" w:eastAsia="宋体" w:cs="Times New Roman"/>
          <w:color w:val="auto"/>
          <w:kern w:val="0"/>
          <w:szCs w:val="24"/>
          <w:highlight w:val="none"/>
          <w:u w:val="none"/>
        </w:rPr>
        <w:t xml:space="preserve"> </w:t>
      </w:r>
      <w:r>
        <w:rPr>
          <w:rFonts w:hint="eastAsia" w:ascii="Times New Roman" w:hAnsi="Times New Roman" w:eastAsia="宋体" w:cs="Times New Roman"/>
          <w:color w:val="auto"/>
          <w:kern w:val="0"/>
          <w:szCs w:val="24"/>
          <w:highlight w:val="none"/>
          <w:u w:val="none"/>
          <w:lang w:val="en-US" w:eastAsia="zh-CN"/>
        </w:rPr>
        <w:t xml:space="preserve">     </w:t>
      </w:r>
      <w:r>
        <w:rPr>
          <w:rFonts w:hint="eastAsia" w:ascii="Times New Roman" w:hAnsi="Times New Roman" w:eastAsia="宋体" w:cs="Times New Roman"/>
          <w:color w:val="auto"/>
          <w:kern w:val="0"/>
          <w:szCs w:val="24"/>
          <w:highlight w:val="none"/>
          <w:u w:val="none"/>
        </w:rPr>
        <w:t xml:space="preserve">   </w:t>
      </w:r>
    </w:p>
    <w:p w14:paraId="2E99CAF6">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楷体"/>
          <w:bCs/>
          <w:snapToGrid w:val="0"/>
          <w:color w:val="auto"/>
          <w:kern w:val="0"/>
          <w:szCs w:val="24"/>
          <w:highlight w:val="none"/>
          <w:u w:val="none"/>
        </w:rPr>
        <w:t>2.12 其他：</w:t>
      </w:r>
      <w:r>
        <w:rPr>
          <w:rFonts w:hint="eastAsia" w:ascii="Times New Roman" w:hAnsi="Times New Roman" w:eastAsia="宋体" w:cs="Times New Roman"/>
          <w:color w:val="auto"/>
          <w:kern w:val="0"/>
          <w:szCs w:val="24"/>
          <w:highlight w:val="none"/>
          <w:u w:val="none"/>
          <w:lang w:val="en-US" w:eastAsia="zh-CN"/>
        </w:rPr>
        <w:t>/</w:t>
      </w:r>
    </w:p>
    <w:p w14:paraId="11E057E0">
      <w:pPr>
        <w:pStyle w:val="2"/>
        <w:spacing w:before="240" w:after="240"/>
        <w:rPr>
          <w:rFonts w:hint="eastAsia" w:ascii="Times New Roman" w:hAnsi="Times New Roman" w:cs="黑体"/>
          <w:b w:val="0"/>
          <w:bCs w:val="0"/>
          <w:color w:val="auto"/>
          <w:highlight w:val="none"/>
          <w:u w:val="none"/>
        </w:rPr>
      </w:pPr>
      <w:bookmarkStart w:id="13" w:name="_Toc17231"/>
      <w:r>
        <w:rPr>
          <w:rFonts w:hint="eastAsia" w:ascii="Times New Roman" w:hAnsi="Times New Roman" w:cs="黑体"/>
          <w:b w:val="0"/>
          <w:bCs w:val="0"/>
          <w:color w:val="auto"/>
          <w:highlight w:val="none"/>
          <w:u w:val="none"/>
        </w:rPr>
        <w:t>3.投标人资格要求</w:t>
      </w:r>
      <w:bookmarkEnd w:id="10"/>
      <w:bookmarkEnd w:id="11"/>
      <w:bookmarkEnd w:id="12"/>
      <w:bookmarkEnd w:id="13"/>
    </w:p>
    <w:p w14:paraId="6BD22CF9">
      <w:pPr>
        <w:ind w:firstLine="437"/>
        <w:rPr>
          <w:rFonts w:hint="eastAsia" w:ascii="Times New Roman" w:hAnsi="Times New Roman" w:eastAsia="宋体" w:cs="宋体"/>
          <w:color w:val="auto"/>
          <w:highlight w:val="none"/>
          <w:u w:val="none"/>
        </w:rPr>
      </w:pPr>
      <w:bookmarkStart w:id="14" w:name="_Toc30498"/>
      <w:bookmarkStart w:id="15" w:name="_Toc6851"/>
      <w:bookmarkStart w:id="16" w:name="_Toc30137"/>
      <w:r>
        <w:rPr>
          <w:rFonts w:hint="eastAsia" w:ascii="Times New Roman" w:hAnsi="Times New Roman" w:eastAsia="宋体" w:cs="宋体"/>
          <w:color w:val="auto"/>
          <w:highlight w:val="none"/>
          <w:u w:val="none"/>
        </w:rPr>
        <w:t>3.1 投标人应依法设立并具备承担本招标项目的如下条件：</w:t>
      </w:r>
    </w:p>
    <w:p w14:paraId="7B6D8151">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宋体"/>
          <w:color w:val="auto"/>
          <w:highlight w:val="none"/>
          <w:u w:val="none"/>
        </w:rPr>
        <w:t>3.1.1 投标人资质要求：</w:t>
      </w:r>
      <w:r>
        <w:rPr>
          <w:rFonts w:hint="eastAsia" w:ascii="Times New Roman" w:hAnsi="Times New Roman" w:eastAsia="宋体" w:cs="Times New Roman"/>
          <w:color w:val="auto"/>
          <w:highlight w:val="none"/>
          <w:u w:val="none"/>
        </w:rPr>
        <w:t>具备有效的营业执照，且同时具有</w:t>
      </w:r>
      <w:r>
        <w:rPr>
          <w:rFonts w:hint="eastAsia" w:ascii="Times New Roman" w:hAnsi="Times New Roman" w:eastAsia="宋体" w:cs="Times New Roman"/>
          <w:color w:val="auto"/>
          <w:highlight w:val="none"/>
          <w:u w:val="none"/>
          <w:lang w:val="en-US" w:eastAsia="zh-CN"/>
        </w:rPr>
        <w:t>下列资质</w:t>
      </w:r>
      <w:r>
        <w:rPr>
          <w:rFonts w:hint="eastAsia" w:ascii="Times New Roman" w:hAnsi="Times New Roman" w:eastAsia="宋体" w:cs="Times New Roman"/>
          <w:color w:val="auto"/>
          <w:highlight w:val="none"/>
          <w:u w:val="none"/>
        </w:rPr>
        <w:t>：</w:t>
      </w:r>
    </w:p>
    <w:p w14:paraId="2F3397BC">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3.1.1.1电力工程施工总承包三级及以上资质及有效的安全生产许可证；</w:t>
      </w:r>
    </w:p>
    <w:p w14:paraId="2B3B7783">
      <w:pPr>
        <w:pStyle w:val="3"/>
        <w:spacing w:line="360" w:lineRule="auto"/>
        <w:ind w:firstLine="480" w:firstLineChars="200"/>
        <w:rPr>
          <w:rFonts w:hint="eastAsia" w:ascii="Times New Roman" w:hAnsi="Times New Roman" w:eastAsia="宋体" w:cs="宋体"/>
          <w:color w:val="auto"/>
          <w:kern w:val="2"/>
          <w:szCs w:val="24"/>
          <w:highlight w:val="none"/>
          <w:u w:val="none"/>
          <w:lang w:eastAsia="zh-CN"/>
        </w:rPr>
      </w:pPr>
      <w:r>
        <w:rPr>
          <w:rFonts w:hint="eastAsia" w:ascii="Times New Roman" w:hAnsi="Times New Roman" w:eastAsia="宋体" w:cs="宋体"/>
          <w:color w:val="auto"/>
          <w:kern w:val="2"/>
          <w:szCs w:val="24"/>
          <w:highlight w:val="none"/>
          <w:u w:val="none"/>
        </w:rPr>
        <w:t>3.1.1.2新证</w:t>
      </w:r>
      <w:r>
        <w:rPr>
          <w:rFonts w:hint="eastAsia" w:ascii="Times New Roman" w:hAnsi="Times New Roman" w:eastAsia="宋体" w:cs="宋体"/>
          <w:color w:val="auto"/>
          <w:kern w:val="2"/>
          <w:szCs w:val="24"/>
          <w:highlight w:val="none"/>
          <w:u w:val="none"/>
          <w:lang w:val="en-US" w:eastAsia="zh-CN"/>
        </w:rPr>
        <w:t>：</w:t>
      </w:r>
      <w:r>
        <w:rPr>
          <w:rFonts w:hint="eastAsia" w:ascii="Times New Roman" w:hAnsi="Times New Roman" w:eastAsia="宋体" w:cs="宋体"/>
          <w:color w:val="auto"/>
          <w:kern w:val="2"/>
          <w:szCs w:val="24"/>
          <w:highlight w:val="none"/>
          <w:u w:val="none"/>
        </w:rPr>
        <w:t>承装（修、试）电力设施许可证</w:t>
      </w:r>
      <w:r>
        <w:rPr>
          <w:rFonts w:hint="eastAsia" w:ascii="Times New Roman" w:hAnsi="Times New Roman" w:eastAsia="宋体" w:cs="宋体"/>
          <w:color w:val="auto"/>
          <w:kern w:val="2"/>
          <w:szCs w:val="24"/>
          <w:highlight w:val="none"/>
          <w:u w:val="none"/>
          <w:lang w:eastAsia="zh-CN"/>
        </w:rPr>
        <w:t>，</w:t>
      </w:r>
      <w:r>
        <w:rPr>
          <w:rFonts w:hint="eastAsia" w:ascii="Times New Roman" w:hAnsi="Times New Roman" w:eastAsia="宋体" w:cs="宋体"/>
          <w:color w:val="auto"/>
          <w:kern w:val="2"/>
          <w:szCs w:val="24"/>
          <w:highlight w:val="none"/>
          <w:u w:val="none"/>
        </w:rPr>
        <w:t>承装、承修、承试类三级（10千伏以下）及以上资质</w:t>
      </w:r>
      <w:r>
        <w:rPr>
          <w:rFonts w:hint="eastAsia" w:ascii="Times New Roman" w:hAnsi="Times New Roman" w:eastAsia="宋体" w:cs="宋体"/>
          <w:color w:val="auto"/>
          <w:kern w:val="2"/>
          <w:szCs w:val="24"/>
          <w:highlight w:val="none"/>
          <w:u w:val="none"/>
          <w:lang w:eastAsia="zh-CN"/>
        </w:rPr>
        <w:t>；</w:t>
      </w:r>
    </w:p>
    <w:p w14:paraId="0754CF0E">
      <w:pPr>
        <w:pStyle w:val="3"/>
        <w:spacing w:line="360" w:lineRule="auto"/>
        <w:ind w:firstLine="480" w:firstLineChars="200"/>
        <w:rPr>
          <w:rFonts w:hint="eastAsia" w:ascii="Times New Roman" w:hAnsi="Times New Roman" w:eastAsia="宋体" w:cs="宋体"/>
          <w:color w:val="auto"/>
          <w:kern w:val="2"/>
          <w:szCs w:val="24"/>
          <w:highlight w:val="none"/>
          <w:u w:val="none"/>
        </w:rPr>
      </w:pPr>
      <w:r>
        <w:rPr>
          <w:rFonts w:hint="eastAsia" w:ascii="Times New Roman" w:hAnsi="Times New Roman" w:eastAsia="宋体" w:cs="宋体"/>
          <w:color w:val="auto"/>
          <w:kern w:val="2"/>
          <w:szCs w:val="24"/>
          <w:highlight w:val="none"/>
          <w:u w:val="none"/>
        </w:rPr>
        <w:t>老证</w:t>
      </w:r>
      <w:r>
        <w:rPr>
          <w:rFonts w:hint="eastAsia" w:ascii="Times New Roman" w:hAnsi="Times New Roman" w:eastAsia="宋体" w:cs="宋体"/>
          <w:color w:val="auto"/>
          <w:kern w:val="2"/>
          <w:szCs w:val="24"/>
          <w:highlight w:val="none"/>
          <w:u w:val="none"/>
          <w:lang w:val="en-US" w:eastAsia="zh-CN"/>
        </w:rPr>
        <w:t>：</w:t>
      </w:r>
      <w:r>
        <w:rPr>
          <w:rFonts w:hint="eastAsia" w:ascii="Times New Roman" w:hAnsi="Times New Roman" w:eastAsia="宋体" w:cs="宋体"/>
          <w:color w:val="auto"/>
          <w:kern w:val="2"/>
          <w:szCs w:val="24"/>
          <w:highlight w:val="none"/>
          <w:u w:val="none"/>
        </w:rPr>
        <w:t>承装（修、试）电力设施许可证</w:t>
      </w:r>
      <w:r>
        <w:rPr>
          <w:rFonts w:hint="eastAsia" w:ascii="Times New Roman" w:hAnsi="Times New Roman" w:eastAsia="宋体" w:cs="宋体"/>
          <w:color w:val="auto"/>
          <w:kern w:val="2"/>
          <w:szCs w:val="24"/>
          <w:highlight w:val="none"/>
          <w:u w:val="none"/>
          <w:lang w:eastAsia="zh-CN"/>
        </w:rPr>
        <w:t>，</w:t>
      </w:r>
      <w:r>
        <w:rPr>
          <w:rFonts w:hint="eastAsia" w:ascii="Times New Roman" w:hAnsi="Times New Roman" w:eastAsia="宋体" w:cs="宋体"/>
          <w:color w:val="auto"/>
          <w:kern w:val="2"/>
          <w:szCs w:val="24"/>
          <w:highlight w:val="none"/>
          <w:u w:val="none"/>
        </w:rPr>
        <w:t>承装、承修、承试类</w:t>
      </w:r>
      <w:r>
        <w:rPr>
          <w:rFonts w:hint="eastAsia" w:ascii="Times New Roman" w:hAnsi="Times New Roman" w:eastAsia="宋体" w:cs="宋体"/>
          <w:color w:val="auto"/>
          <w:kern w:val="2"/>
          <w:szCs w:val="24"/>
          <w:highlight w:val="none"/>
          <w:u w:val="none"/>
          <w:lang w:val="en-US" w:eastAsia="zh-CN"/>
        </w:rPr>
        <w:t>五</w:t>
      </w:r>
      <w:r>
        <w:rPr>
          <w:rFonts w:hint="eastAsia" w:ascii="Times New Roman" w:hAnsi="Times New Roman" w:eastAsia="宋体" w:cs="宋体"/>
          <w:color w:val="auto"/>
          <w:kern w:val="2"/>
          <w:szCs w:val="24"/>
          <w:highlight w:val="none"/>
          <w:u w:val="none"/>
        </w:rPr>
        <w:t>级及以上资质；</w:t>
      </w:r>
    </w:p>
    <w:p w14:paraId="6EF7DFD7">
      <w:pPr>
        <w:ind w:firstLine="437"/>
        <w:rPr>
          <w:rFonts w:hint="eastAsia" w:ascii="Times New Roman" w:hAnsi="Times New Roman" w:eastAsia="宋体" w:cs="宋体"/>
          <w:color w:val="auto"/>
          <w:highlight w:val="none"/>
          <w:u w:val="none"/>
        </w:rPr>
      </w:pPr>
      <w:r>
        <w:rPr>
          <w:rFonts w:hint="eastAsia" w:ascii="Times New Roman" w:hAnsi="Times New Roman" w:eastAsia="宋体" w:cs="Times New Roman"/>
          <w:color w:val="auto"/>
          <w:highlight w:val="none"/>
          <w:u w:val="none"/>
        </w:rPr>
        <w:t>3.1.1.3电力行业（新能源发电）专业乙级工程设计资质或电力行业工程设计乙级及以上资质或工程设计综合甲级资质。</w:t>
      </w:r>
    </w:p>
    <w:p w14:paraId="0DFB954F">
      <w:pPr>
        <w:ind w:firstLine="437"/>
        <w:rPr>
          <w:rFonts w:hint="eastAsia" w:ascii="Times New Roman" w:hAnsi="Times New Roman" w:eastAsia="宋体" w:cs="宋体"/>
          <w:color w:val="auto"/>
          <w:highlight w:val="none"/>
          <w:u w:val="none"/>
        </w:rPr>
      </w:pPr>
      <w:r>
        <w:rPr>
          <w:rFonts w:hint="eastAsia" w:ascii="Times New Roman" w:hAnsi="Times New Roman" w:eastAsia="宋体" w:cs="宋体"/>
          <w:color w:val="auto"/>
          <w:highlight w:val="none"/>
          <w:u w:val="none"/>
        </w:rPr>
        <w:t xml:space="preserve">3.1.2 </w:t>
      </w:r>
      <w:r>
        <w:rPr>
          <w:rFonts w:hint="eastAsia" w:ascii="Times New Roman" w:hAnsi="Times New Roman" w:eastAsia="宋体" w:cs="宋体"/>
          <w:bCs/>
          <w:snapToGrid w:val="0"/>
          <w:color w:val="auto"/>
          <w:kern w:val="0"/>
          <w:highlight w:val="none"/>
          <w:u w:val="none"/>
        </w:rPr>
        <w:t>项目经理、设计负责人、施工负责人要求</w:t>
      </w:r>
      <w:r>
        <w:rPr>
          <w:rFonts w:hint="eastAsia" w:ascii="Times New Roman" w:hAnsi="Times New Roman" w:eastAsia="宋体" w:cs="宋体"/>
          <w:color w:val="auto"/>
          <w:highlight w:val="none"/>
          <w:u w:val="none"/>
        </w:rPr>
        <w:t>：</w:t>
      </w:r>
    </w:p>
    <w:p w14:paraId="7B60ACBB">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（1）项目经理要求：</w:t>
      </w:r>
      <w:r>
        <w:rPr>
          <w:rFonts w:hint="eastAsia" w:ascii="Times New Roman" w:hAnsi="Times New Roman" w:eastAsia="宋体" w:cs="Times New Roman"/>
          <w:color w:val="auto"/>
          <w:highlight w:val="none"/>
          <w:u w:val="none"/>
        </w:rPr>
        <w:t>具备机电工程专业二级及以上注册建造师证书和住房和城乡建设主管部门颁发的安全生产考核合格证书（B证）</w:t>
      </w:r>
    </w:p>
    <w:p w14:paraId="67325F86">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（2）设计负责人要求：</w:t>
      </w:r>
      <w:r>
        <w:rPr>
          <w:rFonts w:hint="eastAsia" w:ascii="Times New Roman" w:hAnsi="Times New Roman" w:eastAsia="宋体" w:cs="Times New Roman"/>
          <w:color w:val="auto"/>
          <w:highlight w:val="none"/>
          <w:u w:val="none"/>
        </w:rPr>
        <w:t>具备电力相关专业（或电气相关专业）高级工程师及以上职称或注册电气工程师执业资格；</w:t>
      </w:r>
    </w:p>
    <w:p w14:paraId="46711E6F">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（3）施工负责人要求：</w:t>
      </w:r>
      <w:r>
        <w:rPr>
          <w:rFonts w:hint="eastAsia" w:ascii="Times New Roman" w:hAnsi="Times New Roman" w:eastAsia="宋体" w:cs="Times New Roman"/>
          <w:color w:val="auto"/>
          <w:highlight w:val="none"/>
          <w:u w:val="none"/>
        </w:rPr>
        <w:t>具备机电工程专业二级及以上注册建造师证书和住房和城乡建设主管部门颁发的安全生产考核合格证书（B证）</w:t>
      </w:r>
      <w:r>
        <w:rPr>
          <w:rFonts w:hint="eastAsia" w:ascii="Times New Roman" w:hAnsi="Times New Roman" w:eastAsia="宋体" w:cs="宋体"/>
          <w:bCs/>
          <w:snapToGrid w:val="0"/>
          <w:color w:val="auto"/>
          <w:kern w:val="0"/>
          <w:highlight w:val="none"/>
          <w:u w:val="none"/>
        </w:rPr>
        <w:t>。</w:t>
      </w:r>
    </w:p>
    <w:p w14:paraId="3A8074A6">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（4）</w:t>
      </w:r>
      <w:r>
        <w:rPr>
          <w:rFonts w:hint="eastAsia" w:ascii="Times New Roman" w:hAnsi="Times New Roman" w:eastAsia="宋体" w:cs="Times New Roman"/>
          <w:color w:val="auto"/>
          <w:highlight w:val="none"/>
          <w:u w:val="none"/>
        </w:rPr>
        <w:t>项目经理与施工负责人可以为同一人，项目经理与设计负责人不得为同一人，施工负责人与设计负责人不得为同一人。</w:t>
      </w:r>
    </w:p>
    <w:p w14:paraId="745C38F4">
      <w:pPr>
        <w:ind w:firstLine="676" w:firstLineChars="282"/>
        <w:jc w:val="left"/>
        <w:rPr>
          <w:rFonts w:hint="eastAsia" w:ascii="Times New Roman" w:hAnsi="Times New Roman" w:eastAsia="宋体" w:cs="Times New Roman"/>
          <w:color w:val="auto"/>
          <w:highlight w:val="none"/>
          <w:u w:val="none"/>
        </w:rPr>
      </w:pPr>
      <w:r>
        <w:rPr>
          <w:rFonts w:hint="eastAsia" w:ascii="Times New Roman" w:hAnsi="Times New Roman" w:eastAsia="宋体" w:cs="宋体"/>
          <w:color w:val="auto"/>
          <w:highlight w:val="none"/>
          <w:u w:val="none"/>
        </w:rPr>
        <w:t xml:space="preserve">3.1.3 </w:t>
      </w:r>
      <w:r>
        <w:rPr>
          <w:rFonts w:hint="eastAsia" w:ascii="Times New Roman" w:hAnsi="Times New Roman" w:eastAsia="宋体" w:cs="宋体"/>
          <w:bCs/>
          <w:snapToGrid w:val="0"/>
          <w:color w:val="auto"/>
          <w:highlight w:val="none"/>
          <w:u w:val="none"/>
        </w:rPr>
        <w:t>投标人业绩要求：</w:t>
      </w:r>
      <w:r>
        <w:rPr>
          <w:rFonts w:hint="eastAsia" w:ascii="Times New Roman" w:hAnsi="Times New Roman" w:eastAsia="宋体" w:cs="宋体"/>
          <w:bCs/>
          <w:snapToGrid w:val="0"/>
          <w:color w:val="auto"/>
          <w:highlight w:val="none"/>
          <w:u w:val="none"/>
          <w:lang w:val="en-US" w:eastAsia="zh-CN"/>
        </w:rPr>
        <w:t>/</w:t>
      </w:r>
      <w:r>
        <w:rPr>
          <w:rFonts w:hint="eastAsia" w:ascii="Times New Roman" w:hAnsi="Times New Roman" w:eastAsia="宋体" w:cs="Times New Roman"/>
          <w:color w:val="auto"/>
          <w:highlight w:val="none"/>
          <w:u w:val="none"/>
        </w:rPr>
        <w:t>。</w:t>
      </w:r>
    </w:p>
    <w:p w14:paraId="03FF8B09">
      <w:pPr>
        <w:ind w:firstLine="437"/>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color w:val="auto"/>
          <w:highlight w:val="none"/>
          <w:u w:val="none"/>
        </w:rPr>
        <w:t>3.1.4</w:t>
      </w:r>
      <w:r>
        <w:rPr>
          <w:rFonts w:ascii="Times New Roman" w:hAnsi="Times New Roman" w:eastAsia="宋体" w:cs="宋体"/>
          <w:color w:val="auto"/>
          <w:highlight w:val="none"/>
          <w:u w:val="none"/>
        </w:rPr>
        <w:t xml:space="preserve"> </w:t>
      </w:r>
      <w:r>
        <w:rPr>
          <w:rFonts w:hint="eastAsia" w:ascii="Times New Roman" w:hAnsi="Times New Roman" w:eastAsia="宋体" w:cs="宋体"/>
          <w:bCs/>
          <w:snapToGrid w:val="0"/>
          <w:color w:val="auto"/>
          <w:kern w:val="0"/>
          <w:highlight w:val="none"/>
          <w:u w:val="none"/>
        </w:rPr>
        <w:t>项目经理、设计负责人、施工负责人业绩要求：</w:t>
      </w:r>
    </w:p>
    <w:p w14:paraId="0E3DE71E">
      <w:pPr>
        <w:ind w:firstLine="437"/>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（1）项目经理业绩要求：</w:t>
      </w:r>
      <w:r>
        <w:rPr>
          <w:rFonts w:hint="eastAsia" w:ascii="Times New Roman" w:hAnsi="Times New Roman" w:eastAsia="宋体" w:cs="Times New Roman"/>
          <w:color w:val="auto"/>
          <w:highlight w:val="none"/>
          <w:u w:val="none"/>
        </w:rPr>
        <w:t>自2021年1月1日以来（以竣工验收时间为准），</w:t>
      </w:r>
      <w:r>
        <w:rPr>
          <w:rFonts w:hint="eastAsia" w:ascii="Times New Roman" w:hAnsi="Times New Roman" w:eastAsia="宋体" w:cs="Times New Roman"/>
          <w:color w:val="auto"/>
          <w:highlight w:val="none"/>
          <w:u w:val="none"/>
          <w:lang w:val="en-US" w:eastAsia="zh-CN"/>
        </w:rPr>
        <w:t>项目经理</w:t>
      </w:r>
      <w:r>
        <w:rPr>
          <w:rFonts w:hint="eastAsia" w:ascii="Times New Roman" w:hAnsi="Times New Roman" w:eastAsia="宋体" w:cs="Times New Roman"/>
          <w:color w:val="auto"/>
          <w:highlight w:val="none"/>
          <w:u w:val="none"/>
        </w:rPr>
        <w:t>在中华人民共和国境内（不含港澳台）具备单个合同中并网容量不少于1.</w:t>
      </w:r>
      <w:r>
        <w:rPr>
          <w:rFonts w:hint="eastAsia" w:ascii="Times New Roman" w:hAnsi="Times New Roman" w:eastAsia="宋体" w:cs="Times New Roman"/>
          <w:color w:val="auto"/>
          <w:highlight w:val="none"/>
          <w:u w:val="none"/>
          <w:lang w:val="en-US" w:eastAsia="zh-CN"/>
        </w:rPr>
        <w:t>2</w:t>
      </w:r>
      <w:r>
        <w:rPr>
          <w:rFonts w:hint="eastAsia" w:ascii="Times New Roman" w:hAnsi="Times New Roman" w:eastAsia="宋体" w:cs="Times New Roman"/>
          <w:color w:val="auto"/>
          <w:highlight w:val="none"/>
          <w:u w:val="none"/>
        </w:rPr>
        <w:t>MW的已并网分布式光伏发电项目工程总承包业绩（注：①业绩须为已完工业绩；②工程总承包业绩是指业绩中至少包含设计、采购、施工或设计、施工内容）</w:t>
      </w:r>
      <w:r>
        <w:rPr>
          <w:rFonts w:hint="eastAsia" w:ascii="Times New Roman" w:hAnsi="Times New Roman" w:eastAsia="宋体" w:cs="宋体"/>
          <w:bCs/>
          <w:snapToGrid w:val="0"/>
          <w:color w:val="auto"/>
          <w:kern w:val="0"/>
          <w:highlight w:val="none"/>
          <w:u w:val="none"/>
        </w:rPr>
        <w:t>。</w:t>
      </w:r>
    </w:p>
    <w:p w14:paraId="31CCC39E">
      <w:pPr>
        <w:ind w:firstLine="480" w:firstLineChars="200"/>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（2）设计负责人业绩要求：</w:t>
      </w:r>
      <w:r>
        <w:rPr>
          <w:rFonts w:hint="eastAsia" w:ascii="Times New Roman" w:hAnsi="Times New Roman" w:eastAsia="宋体" w:cs="楷体"/>
          <w:bCs/>
          <w:snapToGrid w:val="0"/>
          <w:color w:val="auto"/>
          <w:szCs w:val="21"/>
          <w:highlight w:val="none"/>
          <w:u w:val="none"/>
        </w:rPr>
        <w:t>/</w:t>
      </w:r>
      <w:r>
        <w:rPr>
          <w:rFonts w:hint="eastAsia" w:ascii="Times New Roman" w:hAnsi="Times New Roman" w:eastAsia="宋体" w:cs="宋体"/>
          <w:bCs/>
          <w:snapToGrid w:val="0"/>
          <w:color w:val="auto"/>
          <w:kern w:val="0"/>
          <w:highlight w:val="none"/>
          <w:u w:val="none"/>
        </w:rPr>
        <w:t>。</w:t>
      </w:r>
    </w:p>
    <w:p w14:paraId="2C324F09">
      <w:pPr>
        <w:ind w:firstLine="480" w:firstLineChars="200"/>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（3）施工负责人业绩要求：</w:t>
      </w:r>
      <w:r>
        <w:rPr>
          <w:rFonts w:hint="eastAsia" w:ascii="Times New Roman" w:hAnsi="Times New Roman" w:eastAsia="宋体" w:cs="楷体"/>
          <w:bCs/>
          <w:snapToGrid w:val="0"/>
          <w:color w:val="auto"/>
          <w:szCs w:val="21"/>
          <w:highlight w:val="none"/>
          <w:u w:val="none"/>
        </w:rPr>
        <w:t>/</w:t>
      </w:r>
      <w:r>
        <w:rPr>
          <w:rFonts w:hint="eastAsia" w:ascii="Times New Roman" w:hAnsi="Times New Roman" w:eastAsia="宋体" w:cs="宋体"/>
          <w:bCs/>
          <w:snapToGrid w:val="0"/>
          <w:color w:val="auto"/>
          <w:kern w:val="0"/>
          <w:highlight w:val="none"/>
          <w:u w:val="none"/>
        </w:rPr>
        <w:t>。</w:t>
      </w:r>
    </w:p>
    <w:p w14:paraId="67542449">
      <w:pPr>
        <w:ind w:firstLine="437"/>
        <w:rPr>
          <w:rFonts w:hint="eastAsia" w:ascii="Times New Roman" w:hAnsi="Times New Roman" w:eastAsia="宋体" w:cs="Times New Roman"/>
          <w:color w:val="auto"/>
          <w:highlight w:val="none"/>
          <w:u w:val="none"/>
        </w:rPr>
      </w:pPr>
      <w:r>
        <w:rPr>
          <w:rFonts w:hint="eastAsia" w:ascii="Times New Roman" w:hAnsi="Times New Roman" w:eastAsia="宋体" w:cs="宋体"/>
          <w:color w:val="auto"/>
          <w:highlight w:val="none"/>
          <w:u w:val="none"/>
        </w:rPr>
        <w:t>3.1.5 财务要求：</w:t>
      </w:r>
      <w:r>
        <w:rPr>
          <w:rFonts w:hint="eastAsia" w:ascii="Times New Roman" w:hAnsi="Times New Roman" w:eastAsia="宋体" w:cs="Times New Roman"/>
          <w:color w:val="auto"/>
          <w:highlight w:val="none"/>
          <w:u w:val="none"/>
        </w:rPr>
        <w:t xml:space="preserve"> 无  。</w:t>
      </w:r>
    </w:p>
    <w:p w14:paraId="37BB649D">
      <w:pPr>
        <w:spacing w:line="460" w:lineRule="exact"/>
        <w:ind w:firstLine="437"/>
        <w:rPr>
          <w:rFonts w:hint="eastAsia" w:ascii="Times New Roman" w:hAnsi="宋体" w:eastAsia="宋体" w:cs="Times New Roman"/>
          <w:color w:val="auto"/>
          <w:highlight w:val="none"/>
          <w:u w:val="none"/>
        </w:rPr>
      </w:pPr>
      <w:r>
        <w:rPr>
          <w:rFonts w:hint="eastAsia" w:ascii="Times New Roman" w:hAnsi="Times New Roman" w:eastAsia="宋体" w:cs="宋体"/>
          <w:color w:val="auto"/>
          <w:highlight w:val="none"/>
          <w:u w:val="none"/>
        </w:rPr>
        <w:t>3.1.6 信誉要求：</w:t>
      </w:r>
      <w:r>
        <w:rPr>
          <w:rFonts w:hint="eastAsia" w:ascii="Times New Roman" w:hAnsi="宋体" w:eastAsia="宋体" w:cs="Times New Roman"/>
          <w:color w:val="auto"/>
          <w:highlight w:val="none"/>
          <w:u w:val="none"/>
        </w:rPr>
        <w:t>投标人未被合肥市及其所辖县（市）、区（开发区）公共资源交易监督管理部门记不良行为记录的；或被记不良行为记录（以公布日期为准），但同时符合下列情形的：</w:t>
      </w:r>
    </w:p>
    <w:p w14:paraId="26450422">
      <w:pPr>
        <w:spacing w:line="460" w:lineRule="exact"/>
        <w:ind w:firstLine="437"/>
        <w:rPr>
          <w:rFonts w:hint="eastAsia" w:ascii="Times New Roman" w:hAnsi="宋体" w:eastAsia="宋体" w:cs="Times New Roman"/>
          <w:color w:val="auto"/>
          <w:highlight w:val="none"/>
          <w:u w:val="none"/>
        </w:rPr>
      </w:pPr>
      <w:r>
        <w:rPr>
          <w:rFonts w:hint="eastAsia" w:ascii="Times New Roman" w:hAnsi="宋体" w:eastAsia="宋体" w:cs="Times New Roman"/>
          <w:color w:val="auto"/>
          <w:highlight w:val="none"/>
          <w:u w:val="none"/>
        </w:rPr>
        <w:t>（1）开标日前（含当日）6个月内记分累计未满10分的；</w:t>
      </w:r>
    </w:p>
    <w:p w14:paraId="506EE7E3">
      <w:pPr>
        <w:spacing w:line="460" w:lineRule="exact"/>
        <w:ind w:firstLine="437"/>
        <w:rPr>
          <w:rFonts w:hint="eastAsia" w:ascii="Times New Roman" w:hAnsi="宋体" w:eastAsia="宋体" w:cs="Times New Roman"/>
          <w:color w:val="auto"/>
          <w:highlight w:val="none"/>
          <w:u w:val="none"/>
        </w:rPr>
      </w:pPr>
      <w:r>
        <w:rPr>
          <w:rFonts w:hint="eastAsia" w:ascii="Times New Roman" w:hAnsi="宋体" w:eastAsia="宋体" w:cs="Times New Roman"/>
          <w:color w:val="auto"/>
          <w:highlight w:val="none"/>
          <w:u w:val="none"/>
        </w:rPr>
        <w:t>（2）开标日前（含当日）12个月内记分累计未满15分的；</w:t>
      </w:r>
    </w:p>
    <w:p w14:paraId="269C06EE">
      <w:pPr>
        <w:spacing w:line="460" w:lineRule="exact"/>
        <w:ind w:firstLine="437"/>
        <w:rPr>
          <w:rFonts w:hint="eastAsia" w:ascii="Times New Roman" w:hAnsi="宋体" w:eastAsia="宋体" w:cs="Times New Roman"/>
          <w:color w:val="auto"/>
          <w:highlight w:val="none"/>
          <w:u w:val="none"/>
        </w:rPr>
      </w:pPr>
      <w:r>
        <w:rPr>
          <w:rFonts w:hint="eastAsia" w:ascii="Times New Roman" w:hAnsi="宋体" w:eastAsia="宋体" w:cs="Times New Roman"/>
          <w:color w:val="auto"/>
          <w:highlight w:val="none"/>
          <w:u w:val="none"/>
        </w:rPr>
        <w:t>（3）开标日前（含当日）18个月内记分累计未满20分的；</w:t>
      </w:r>
    </w:p>
    <w:p w14:paraId="71DE62F3">
      <w:pPr>
        <w:ind w:firstLine="480" w:firstLineChars="200"/>
        <w:rPr>
          <w:rFonts w:hint="eastAsia" w:ascii="Times New Roman" w:hAnsi="Times New Roman" w:eastAsia="宋体" w:cs="Times New Roman"/>
          <w:color w:val="auto"/>
          <w:highlight w:val="none"/>
          <w:u w:val="none"/>
        </w:rPr>
      </w:pPr>
      <w:r>
        <w:rPr>
          <w:rFonts w:hint="eastAsia" w:ascii="Times New Roman" w:hAnsi="宋体" w:eastAsia="宋体" w:cs="Times New Roman"/>
          <w:color w:val="auto"/>
          <w:highlight w:val="none"/>
          <w:u w:val="none"/>
        </w:rPr>
        <w:t>（4）开标日前（含当日）24个月内记分累计未满25分的。</w:t>
      </w:r>
    </w:p>
    <w:p w14:paraId="3B2D84A7">
      <w:pPr>
        <w:ind w:firstLine="480" w:firstLineChars="200"/>
        <w:rPr>
          <w:rFonts w:hint="eastAsia" w:ascii="宋体" w:hAnsi="宋体" w:eastAsia="宋体" w:cs="Times New Roman"/>
          <w:color w:val="auto"/>
          <w:highlight w:val="none"/>
          <w:u w:val="none"/>
        </w:rPr>
      </w:pPr>
      <w:r>
        <w:rPr>
          <w:rFonts w:hint="eastAsia" w:ascii="Times New Roman" w:hAnsi="Times New Roman" w:eastAsia="宋体" w:cs="Times New Roman"/>
          <w:color w:val="auto"/>
          <w:szCs w:val="21"/>
          <w:highlight w:val="none"/>
          <w:u w:val="none"/>
        </w:rPr>
        <w:t xml:space="preserve">3.1.7 </w:t>
      </w:r>
      <w:bookmarkStart w:id="17" w:name="_Hlk86268479"/>
      <w:r>
        <w:rPr>
          <w:rFonts w:hint="eastAsia" w:ascii="Times New Roman" w:hAnsi="Times New Roman" w:eastAsia="宋体" w:cs="Times New Roman"/>
          <w:color w:val="auto"/>
          <w:szCs w:val="22"/>
          <w:highlight w:val="none"/>
          <w:u w:val="none"/>
        </w:rPr>
        <w:t>本招标项目</w:t>
      </w:r>
      <w:bookmarkEnd w:id="17"/>
      <w:r>
        <w:rPr>
          <w:rFonts w:ascii="Times New Roman" w:hAnsi="Times New Roman" w:eastAsia="宋体" w:cs="Times New Roman"/>
          <w:color w:val="auto"/>
          <w:szCs w:val="21"/>
          <w:highlight w:val="none"/>
          <w:u w:val="none"/>
        </w:rPr>
        <w:t>接受联合体投标</w:t>
      </w:r>
      <w:r>
        <w:rPr>
          <w:rFonts w:ascii="Times New Roman" w:hAnsi="Times New Roman" w:eastAsia="宋体" w:cs="Times New Roman"/>
          <w:color w:val="auto"/>
          <w:szCs w:val="22"/>
          <w:highlight w:val="none"/>
          <w:u w:val="none"/>
        </w:rPr>
        <w:t>。</w:t>
      </w:r>
      <w:r>
        <w:rPr>
          <w:rFonts w:hint="eastAsia" w:ascii="宋体" w:hAnsi="宋体" w:eastAsia="宋体" w:cs="Times New Roman"/>
          <w:color w:val="auto"/>
          <w:highlight w:val="none"/>
          <w:u w:val="none"/>
        </w:rPr>
        <w:t>联合体投标的，应满足下列要求：</w:t>
      </w:r>
    </w:p>
    <w:p w14:paraId="21999B62">
      <w:pPr>
        <w:ind w:firstLine="480" w:firstLineChars="200"/>
        <w:rPr>
          <w:rFonts w:hint="eastAsia" w:ascii="宋体" w:hAnsi="宋体" w:eastAsia="宋体" w:cs="Times New Roman"/>
          <w:color w:val="auto"/>
          <w:highlight w:val="none"/>
          <w:u w:val="none"/>
        </w:rPr>
      </w:pPr>
      <w:r>
        <w:rPr>
          <w:rFonts w:hint="eastAsia" w:ascii="宋体" w:hAnsi="宋体" w:eastAsia="宋体" w:cs="Times New Roman"/>
          <w:color w:val="auto"/>
          <w:highlight w:val="none"/>
          <w:u w:val="none"/>
        </w:rPr>
        <w:t>（1）联合体成员方总数量不超过2家；</w:t>
      </w:r>
    </w:p>
    <w:p w14:paraId="1C6B024C">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（2）联合体承担施工任务须具备3.1.1.1和3.1.1.2投标人资质要求；</w:t>
      </w:r>
    </w:p>
    <w:p w14:paraId="53EEAB01">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（3）联合体承担设计任务须具备3.1.1.3投标人资质要求；</w:t>
      </w:r>
    </w:p>
    <w:p w14:paraId="03A22315">
      <w:pPr>
        <w:ind w:firstLine="480" w:firstLineChars="200"/>
        <w:rPr>
          <w:rFonts w:hint="eastAsia" w:ascii="宋体" w:hAnsi="宋体" w:eastAsia="宋体" w:cs="Times New Roman"/>
          <w:color w:val="auto"/>
          <w:highlight w:val="none"/>
          <w:u w:val="none"/>
        </w:rPr>
      </w:pPr>
      <w:r>
        <w:rPr>
          <w:rFonts w:hint="eastAsia" w:ascii="Times New Roman" w:hAnsi="Times New Roman" w:eastAsia="宋体" w:cs="Times New Roman"/>
          <w:color w:val="auto"/>
          <w:highlight w:val="none"/>
          <w:u w:val="none"/>
        </w:rPr>
        <w:t>（4）联合体各方均须符合3.1.6 信誉要求</w:t>
      </w:r>
      <w:r>
        <w:rPr>
          <w:rFonts w:hint="eastAsia" w:ascii="宋体" w:hAnsi="宋体" w:eastAsia="宋体" w:cs="Times New Roman"/>
          <w:color w:val="auto"/>
          <w:highlight w:val="none"/>
          <w:u w:val="none"/>
        </w:rPr>
        <w:t>。</w:t>
      </w:r>
    </w:p>
    <w:p w14:paraId="19F0A0D7">
      <w:pPr>
        <w:ind w:firstLine="437"/>
        <w:rPr>
          <w:rFonts w:hint="eastAsia" w:ascii="Times New Roman" w:hAnsi="Times New Roman" w:eastAsia="宋体" w:cs="宋体"/>
          <w:color w:val="auto"/>
          <w:highlight w:val="none"/>
          <w:u w:val="none"/>
        </w:rPr>
      </w:pPr>
      <w:r>
        <w:rPr>
          <w:rFonts w:hint="eastAsia" w:ascii="Times New Roman" w:hAnsi="Times New Roman" w:eastAsia="宋体" w:cs="宋体"/>
          <w:color w:val="auto"/>
          <w:highlight w:val="none"/>
          <w:u w:val="none"/>
        </w:rPr>
        <w:t>3.2 投标人不得存在招标文件第二章投标人须知第1.4.3项、第1.4.4项规定的情形。</w:t>
      </w:r>
    </w:p>
    <w:p w14:paraId="3BA24FB6">
      <w:pPr>
        <w:pStyle w:val="4"/>
        <w:spacing w:after="0" w:line="360" w:lineRule="auto"/>
        <w:ind w:firstLine="480" w:firstLineChars="200"/>
        <w:rPr>
          <w:rFonts w:hint="eastAsia" w:ascii="Times New Roman" w:hAnsi="Times New Roman" w:eastAsia="黑体" w:cs="黑体"/>
          <w:i/>
          <w:iCs/>
          <w:color w:val="auto"/>
          <w:kern w:val="2"/>
          <w:sz w:val="24"/>
          <w:szCs w:val="24"/>
          <w:highlight w:val="none"/>
          <w:u w:val="none"/>
          <w:shd w:val="clear" w:color="FFFFFF" w:fill="D9D9D9"/>
          <w:lang w:val="en-US" w:eastAsia="zh-CN" w:bidi="ar-SA"/>
        </w:rPr>
      </w:pPr>
      <w:r>
        <w:rPr>
          <w:rFonts w:hint="eastAsia" w:ascii="Times New Roman" w:hAnsi="Times New Roman" w:eastAsia="宋体" w:cs="Times New Roman"/>
          <w:color w:val="auto"/>
          <w:highlight w:val="none"/>
          <w:u w:val="none"/>
        </w:rPr>
        <w:t xml:space="preserve">3.3 </w:t>
      </w:r>
      <w:r>
        <w:rPr>
          <w:rFonts w:ascii="Times New Roman" w:hAnsi="Times New Roman" w:eastAsia="宋体" w:cs="Times New Roman"/>
          <w:color w:val="auto"/>
          <w:szCs w:val="28"/>
          <w:highlight w:val="none"/>
          <w:u w:val="none"/>
        </w:rPr>
        <w:t>其他要求：</w:t>
      </w:r>
      <w:r>
        <w:rPr>
          <w:rFonts w:hint="eastAsia" w:ascii="Times New Roman" w:hAnsi="Times New Roman" w:eastAsia="宋体" w:cs="Times New Roman"/>
          <w:color w:val="auto"/>
          <w:highlight w:val="none"/>
          <w:u w:val="none"/>
        </w:rPr>
        <w:t xml:space="preserve"> 无。</w:t>
      </w:r>
    </w:p>
    <w:p w14:paraId="7B6C8247">
      <w:pPr>
        <w:pStyle w:val="2"/>
        <w:spacing w:before="240" w:after="240"/>
        <w:rPr>
          <w:rFonts w:hint="eastAsia" w:ascii="Times New Roman" w:hAnsi="Times New Roman" w:cs="黑体"/>
          <w:b w:val="0"/>
          <w:bCs w:val="0"/>
          <w:color w:val="auto"/>
          <w:highlight w:val="none"/>
          <w:u w:val="none"/>
        </w:rPr>
      </w:pPr>
      <w:bookmarkStart w:id="18" w:name="_Toc11783"/>
      <w:r>
        <w:rPr>
          <w:rFonts w:hint="eastAsia" w:ascii="Times New Roman" w:hAnsi="Times New Roman" w:cs="黑体"/>
          <w:b w:val="0"/>
          <w:bCs w:val="0"/>
          <w:color w:val="auto"/>
          <w:highlight w:val="none"/>
          <w:u w:val="none"/>
        </w:rPr>
        <w:t>4.招标文件的获取</w:t>
      </w:r>
      <w:bookmarkEnd w:id="14"/>
      <w:bookmarkEnd w:id="15"/>
      <w:bookmarkEnd w:id="16"/>
      <w:bookmarkEnd w:id="18"/>
    </w:p>
    <w:p w14:paraId="6ABC3DD9">
      <w:pPr>
        <w:spacing w:line="360" w:lineRule="auto"/>
        <w:ind w:firstLine="480" w:firstLineChars="200"/>
        <w:outlineLvl w:val="2"/>
        <w:rPr>
          <w:rFonts w:hint="eastAsia" w:ascii="Times New Roman" w:hAnsi="Times New Roman" w:eastAsia="宋体" w:cs="楷体"/>
          <w:bCs/>
          <w:snapToGrid w:val="0"/>
          <w:color w:val="auto"/>
          <w:highlight w:val="none"/>
          <w:u w:val="none"/>
        </w:rPr>
      </w:pPr>
      <w:r>
        <w:rPr>
          <w:rFonts w:hint="eastAsia" w:ascii="Times New Roman" w:hAnsi="Times New Roman" w:eastAsia="宋体" w:cs="宋体"/>
          <w:bCs/>
          <w:snapToGrid w:val="0"/>
          <w:color w:val="auto"/>
          <w:highlight w:val="none"/>
          <w:u w:val="none"/>
        </w:rPr>
        <w:t>4.1</w:t>
      </w:r>
      <w:bookmarkStart w:id="19" w:name="_Toc9512"/>
      <w:bookmarkStart w:id="20" w:name="_Toc14443"/>
      <w:bookmarkStart w:id="21" w:name="_Toc7152"/>
      <w:r>
        <w:rPr>
          <w:rFonts w:hint="eastAsia" w:ascii="Times New Roman" w:hAnsi="Times New Roman" w:eastAsia="宋体" w:cs="楷体"/>
          <w:bCs/>
          <w:snapToGrid w:val="0"/>
          <w:color w:val="auto"/>
          <w:highlight w:val="none"/>
          <w:u w:val="none"/>
        </w:rPr>
        <w:t xml:space="preserve"> 获取时间：</w:t>
      </w:r>
      <w:r>
        <w:rPr>
          <w:rFonts w:hint="eastAsia" w:ascii="Times New Roman" w:hAnsi="Times New Roman" w:eastAsia="宋体" w:cs="Times New Roman"/>
          <w:color w:val="auto"/>
          <w:highlight w:val="none"/>
          <w:u w:val="none"/>
          <w:lang w:val="en-US" w:eastAsia="zh-CN"/>
        </w:rPr>
        <w:t>2026</w:t>
      </w:r>
      <w:r>
        <w:rPr>
          <w:rFonts w:hint="eastAsia" w:ascii="Times New Roman" w:hAnsi="Times New Roman" w:eastAsia="宋体" w:cs="楷体"/>
          <w:bCs/>
          <w:snapToGrid w:val="0"/>
          <w:color w:val="auto"/>
          <w:highlight w:val="none"/>
          <w:u w:val="none"/>
        </w:rPr>
        <w:t>年</w:t>
      </w:r>
      <w:r>
        <w:rPr>
          <w:rFonts w:hint="eastAsia" w:ascii="Times New Roman" w:hAnsi="Times New Roman" w:eastAsia="宋体" w:cs="Times New Roman"/>
          <w:color w:val="auto"/>
          <w:highlight w:val="none"/>
          <w:u w:val="none"/>
          <w:lang w:val="en-US" w:eastAsia="zh-CN"/>
        </w:rPr>
        <w:t>8</w:t>
      </w:r>
      <w:r>
        <w:rPr>
          <w:rFonts w:hint="eastAsia" w:ascii="Times New Roman" w:hAnsi="Times New Roman" w:eastAsia="宋体" w:cs="楷体"/>
          <w:bCs/>
          <w:snapToGrid w:val="0"/>
          <w:color w:val="auto"/>
          <w:highlight w:val="none"/>
          <w:u w:val="none"/>
        </w:rPr>
        <w:t>月</w:t>
      </w:r>
      <w:r>
        <w:rPr>
          <w:rFonts w:hint="eastAsia" w:ascii="Times New Roman" w:hAnsi="Times New Roman" w:eastAsia="宋体" w:cs="Times New Roman"/>
          <w:color w:val="auto"/>
          <w:highlight w:val="none"/>
          <w:u w:val="none"/>
          <w:lang w:val="en-US" w:eastAsia="zh-CN"/>
        </w:rPr>
        <w:t>5</w:t>
      </w:r>
      <w:r>
        <w:rPr>
          <w:rFonts w:hint="eastAsia" w:ascii="Times New Roman" w:hAnsi="Times New Roman" w:eastAsia="宋体" w:cs="楷体"/>
          <w:bCs/>
          <w:snapToGrid w:val="0"/>
          <w:color w:val="auto"/>
          <w:highlight w:val="none"/>
          <w:u w:val="none"/>
        </w:rPr>
        <w:t>日至投标截止时间。</w:t>
      </w:r>
    </w:p>
    <w:p w14:paraId="01B83F46">
      <w:pPr>
        <w:spacing w:line="360" w:lineRule="auto"/>
        <w:ind w:firstLine="480" w:firstLineChars="200"/>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4.2 获取方式：</w:t>
      </w:r>
    </w:p>
    <w:p w14:paraId="04461590">
      <w:pPr>
        <w:spacing w:line="360" w:lineRule="auto"/>
        <w:ind w:firstLine="480" w:firstLineChars="200"/>
        <w:rPr>
          <w:rFonts w:hint="eastAsia"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（1）本招标项目实行全流程电子化交易。</w:t>
      </w:r>
    </w:p>
    <w:p w14:paraId="360FC98B">
      <w:pPr>
        <w:spacing w:line="360" w:lineRule="auto"/>
        <w:ind w:firstLine="480" w:firstLineChars="200"/>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（2）潜在投标人可登录</w:t>
      </w:r>
      <w:r>
        <w:rPr>
          <w:rFonts w:hint="default" w:ascii="Times New Roman" w:hAnsi="Times New Roman" w:eastAsia="宋体" w:cs="楷体"/>
          <w:bCs/>
          <w:snapToGrid w:val="0"/>
          <w:color w:val="auto"/>
          <w:highlight w:val="none"/>
          <w:u w:val="none"/>
          <w:lang w:val="en-US" w:eastAsia="zh-CN"/>
        </w:rPr>
        <w:t>安徽合肥公共资源交易中心</w:t>
      </w:r>
      <w:r>
        <w:rPr>
          <w:rFonts w:hint="eastAsia" w:ascii="Times New Roman" w:hAnsi="Times New Roman" w:eastAsia="宋体" w:cs="楷体"/>
          <w:bCs/>
          <w:snapToGrid w:val="0"/>
          <w:color w:val="auto"/>
          <w:highlight w:val="none"/>
          <w:u w:val="none"/>
          <w:lang w:val="en-US" w:eastAsia="zh-CN"/>
        </w:rPr>
        <w:t>网站</w:t>
      </w:r>
      <w:r>
        <w:rPr>
          <w:rFonts w:hint="eastAsia" w:ascii="Times New Roman" w:hAnsi="Times New Roman" w:eastAsia="宋体" w:cs="楷体"/>
          <w:bCs/>
          <w:snapToGrid w:val="0"/>
          <w:color w:val="auto"/>
          <w:highlight w:val="none"/>
          <w:u w:val="none"/>
        </w:rPr>
        <w:t>查阅招标文件，如参与投标，则须在本条第4.1款规定的招标文件获取时间内通过</w:t>
      </w:r>
      <w:r>
        <w:rPr>
          <w:rFonts w:hint="eastAsia" w:ascii="Times New Roman" w:hAnsi="Times New Roman" w:eastAsia="宋体" w:cs="Times New Roman"/>
          <w:color w:val="auto"/>
          <w:szCs w:val="24"/>
          <w:highlight w:val="none"/>
          <w:u w:val="none"/>
          <w:lang w:val="en-US" w:eastAsia="zh-CN"/>
        </w:rPr>
        <w:t>安徽公共资源交易集团电子交易系统【新版】</w:t>
      </w:r>
      <w:r>
        <w:rPr>
          <w:rFonts w:hint="eastAsia" w:ascii="Times New Roman" w:hAnsi="Times New Roman" w:eastAsia="宋体" w:cs="楷体"/>
          <w:bCs/>
          <w:snapToGrid w:val="0"/>
          <w:color w:val="auto"/>
          <w:highlight w:val="none"/>
          <w:u w:val="none"/>
        </w:rPr>
        <w:t>。</w:t>
      </w:r>
    </w:p>
    <w:p w14:paraId="53A82D54">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楷体"/>
          <w:bCs/>
          <w:snapToGrid w:val="0"/>
          <w:color w:val="auto"/>
          <w:highlight w:val="none"/>
          <w:u w:val="none"/>
        </w:rPr>
        <w:t>（3）招标文件获取过程中有任何疑问，请在工作时间（9</w:t>
      </w:r>
      <w:r>
        <w:rPr>
          <w:rFonts w:hint="eastAsia" w:ascii="Times New Roman" w:hAnsi="Times New Roman" w:eastAsia="宋体" w:cs="楷体"/>
          <w:bCs/>
          <w:snapToGrid w:val="0"/>
          <w:color w:val="auto"/>
          <w:highlight w:val="none"/>
          <w:u w:val="none"/>
          <w:lang w:eastAsia="zh-CN"/>
        </w:rPr>
        <w:t>:</w:t>
      </w:r>
      <w:r>
        <w:rPr>
          <w:rFonts w:hint="eastAsia" w:ascii="Times New Roman" w:hAnsi="Times New Roman" w:eastAsia="宋体" w:cs="楷体"/>
          <w:bCs/>
          <w:snapToGrid w:val="0"/>
          <w:color w:val="auto"/>
          <w:highlight w:val="none"/>
          <w:u w:val="none"/>
        </w:rPr>
        <w:t>00-17</w:t>
      </w:r>
      <w:r>
        <w:rPr>
          <w:rFonts w:hint="eastAsia" w:ascii="Times New Roman" w:hAnsi="Times New Roman" w:eastAsia="宋体" w:cs="楷体"/>
          <w:bCs/>
          <w:snapToGrid w:val="0"/>
          <w:color w:val="auto"/>
          <w:highlight w:val="none"/>
          <w:u w:val="none"/>
          <w:lang w:eastAsia="zh-CN"/>
        </w:rPr>
        <w:t>:</w:t>
      </w:r>
      <w:r>
        <w:rPr>
          <w:rFonts w:hint="eastAsia" w:ascii="Times New Roman" w:hAnsi="Times New Roman" w:eastAsia="宋体" w:cs="楷体"/>
          <w:bCs/>
          <w:snapToGrid w:val="0"/>
          <w:color w:val="auto"/>
          <w:highlight w:val="none"/>
          <w:u w:val="none"/>
        </w:rPr>
        <w:t>30，节假日休息）拨打技术支持热线（非项目咨询）</w:t>
      </w:r>
      <w:r>
        <w:rPr>
          <w:rFonts w:hint="eastAsia" w:ascii="Times New Roman" w:hAnsi="Times New Roman" w:eastAsia="宋体" w:cs="楷体"/>
          <w:bCs/>
          <w:snapToGrid w:val="0"/>
          <w:color w:val="auto"/>
          <w:highlight w:val="none"/>
          <w:u w:val="none"/>
          <w:lang w:val="en-US" w:eastAsia="zh-CN"/>
        </w:rPr>
        <w:t>：0512-58188516</w:t>
      </w:r>
      <w:r>
        <w:rPr>
          <w:rFonts w:hint="eastAsia" w:ascii="Times New Roman" w:hAnsi="Times New Roman" w:eastAsia="宋体" w:cs="楷体"/>
          <w:bCs/>
          <w:snapToGrid w:val="0"/>
          <w:color w:val="auto"/>
          <w:highlight w:val="none"/>
          <w:u w:val="none"/>
        </w:rPr>
        <w:t>。项目咨询请拨打电话：</w:t>
      </w:r>
      <w:r>
        <w:rPr>
          <w:rFonts w:hint="eastAsia" w:ascii="Times New Roman" w:hAnsi="Times New Roman" w:eastAsia="宋体" w:cs="Times New Roman"/>
          <w:color w:val="auto"/>
          <w:szCs w:val="24"/>
          <w:highlight w:val="none"/>
          <w:u w:val="none"/>
        </w:rPr>
        <w:t>0551-6622</w:t>
      </w:r>
      <w:r>
        <w:rPr>
          <w:rFonts w:hint="eastAsia" w:ascii="Times New Roman" w:hAnsi="Times New Roman" w:eastAsia="宋体" w:cs="Times New Roman"/>
          <w:color w:val="auto"/>
          <w:szCs w:val="24"/>
          <w:highlight w:val="none"/>
          <w:u w:val="none"/>
          <w:lang w:val="en-US" w:eastAsia="zh-CN"/>
        </w:rPr>
        <w:t>3195</w:t>
      </w:r>
      <w:r>
        <w:rPr>
          <w:rFonts w:hint="eastAsia" w:ascii="Times New Roman" w:hAnsi="Times New Roman" w:eastAsia="宋体" w:cs="Times New Roman"/>
          <w:color w:val="auto"/>
          <w:szCs w:val="24"/>
          <w:highlight w:val="none"/>
          <w:u w:val="none"/>
        </w:rPr>
        <w:t>；0551-66223831。</w:t>
      </w:r>
    </w:p>
    <w:p w14:paraId="79D9E9AB">
      <w:pPr>
        <w:spacing w:line="360" w:lineRule="auto"/>
        <w:ind w:firstLine="480" w:firstLineChars="200"/>
        <w:rPr>
          <w:rFonts w:hint="eastAsia"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4.3 招标文件价格： 0 元。</w:t>
      </w:r>
    </w:p>
    <w:p w14:paraId="0A30AA8B">
      <w:pPr>
        <w:pStyle w:val="2"/>
        <w:spacing w:before="240" w:after="240"/>
        <w:rPr>
          <w:rFonts w:hint="eastAsia" w:ascii="Times New Roman" w:hAnsi="Times New Roman" w:cs="黑体"/>
          <w:b w:val="0"/>
          <w:bCs w:val="0"/>
          <w:color w:val="auto"/>
          <w:highlight w:val="none"/>
          <w:u w:val="none"/>
        </w:rPr>
      </w:pPr>
      <w:bookmarkStart w:id="22" w:name="_Toc13890"/>
      <w:r>
        <w:rPr>
          <w:rFonts w:hint="eastAsia" w:ascii="Times New Roman" w:hAnsi="Times New Roman" w:cs="黑体"/>
          <w:b w:val="0"/>
          <w:bCs w:val="0"/>
          <w:color w:val="auto"/>
          <w:highlight w:val="none"/>
          <w:u w:val="none"/>
        </w:rPr>
        <w:t>5.投标文件的递交</w:t>
      </w:r>
      <w:bookmarkEnd w:id="19"/>
      <w:bookmarkEnd w:id="20"/>
      <w:bookmarkEnd w:id="21"/>
      <w:bookmarkEnd w:id="22"/>
    </w:p>
    <w:p w14:paraId="06B1A011">
      <w:pPr>
        <w:pStyle w:val="5"/>
        <w:spacing w:before="0" w:beforeAutospacing="0" w:after="0" w:afterAutospacing="0" w:line="360" w:lineRule="auto"/>
        <w:ind w:firstLine="480" w:firstLineChars="200"/>
        <w:rPr>
          <w:rFonts w:hint="eastAsia" w:ascii="Times New Roman" w:hAnsi="Times New Roman" w:eastAsia="宋体" w:cs="楷体"/>
          <w:bCs/>
          <w:snapToGrid w:val="0"/>
          <w:color w:val="auto"/>
          <w:highlight w:val="none"/>
          <w:u w:val="none"/>
        </w:rPr>
      </w:pPr>
      <w:bookmarkStart w:id="23" w:name="_Toc29133"/>
      <w:bookmarkStart w:id="24" w:name="_Toc31317"/>
      <w:bookmarkStart w:id="25" w:name="_Toc25669"/>
      <w:r>
        <w:rPr>
          <w:rFonts w:hint="eastAsia" w:ascii="Times New Roman" w:hAnsi="Times New Roman" w:eastAsia="宋体" w:cs="楷体"/>
          <w:bCs/>
          <w:snapToGrid w:val="0"/>
          <w:color w:val="auto"/>
          <w:highlight w:val="none"/>
          <w:u w:val="none"/>
        </w:rPr>
        <w:t>投标文件递交的截止时间（投标截止时间，下同）为</w:t>
      </w:r>
      <w:r>
        <w:rPr>
          <w:rFonts w:hint="eastAsia" w:ascii="Times New Roman" w:hAnsi="Times New Roman" w:eastAsia="宋体"/>
          <w:color w:val="auto"/>
          <w:highlight w:val="none"/>
          <w:u w:val="none"/>
          <w:lang w:val="en-US" w:eastAsia="zh-CN"/>
        </w:rPr>
        <w:t>2026</w:t>
      </w:r>
      <w:r>
        <w:rPr>
          <w:rFonts w:hint="eastAsia" w:ascii="Times New Roman" w:hAnsi="Times New Roman" w:eastAsia="宋体" w:cs="楷体"/>
          <w:bCs/>
          <w:snapToGrid w:val="0"/>
          <w:color w:val="auto"/>
          <w:highlight w:val="none"/>
          <w:u w:val="none"/>
        </w:rPr>
        <w:t>年</w:t>
      </w:r>
      <w:r>
        <w:rPr>
          <w:rFonts w:hint="eastAsia" w:ascii="Times New Roman" w:hAnsi="Times New Roman" w:eastAsia="宋体"/>
          <w:color w:val="auto"/>
          <w:highlight w:val="none"/>
          <w:u w:val="none"/>
          <w:lang w:val="en-US" w:eastAsia="zh-CN"/>
        </w:rPr>
        <w:t>8</w:t>
      </w:r>
      <w:r>
        <w:rPr>
          <w:rFonts w:hint="eastAsia" w:ascii="Times New Roman" w:hAnsi="Times New Roman" w:eastAsia="宋体" w:cs="楷体"/>
          <w:bCs/>
          <w:snapToGrid w:val="0"/>
          <w:color w:val="auto"/>
          <w:highlight w:val="none"/>
          <w:u w:val="none"/>
        </w:rPr>
        <w:t>月</w:t>
      </w:r>
      <w:r>
        <w:rPr>
          <w:rFonts w:hint="eastAsia" w:ascii="Times New Roman" w:hAnsi="Times New Roman" w:eastAsia="宋体"/>
          <w:color w:val="auto"/>
          <w:highlight w:val="none"/>
          <w:u w:val="none"/>
          <w:lang w:val="en-US" w:eastAsia="zh-CN"/>
        </w:rPr>
        <w:t>25</w:t>
      </w:r>
      <w:r>
        <w:rPr>
          <w:rFonts w:hint="eastAsia" w:ascii="Times New Roman" w:hAnsi="Times New Roman" w:eastAsia="宋体" w:cs="楷体"/>
          <w:bCs/>
          <w:snapToGrid w:val="0"/>
          <w:color w:val="auto"/>
          <w:highlight w:val="none"/>
          <w:u w:val="none"/>
        </w:rPr>
        <w:t>日</w:t>
      </w:r>
      <w:r>
        <w:rPr>
          <w:rFonts w:hint="eastAsia" w:ascii="Times New Roman" w:hAnsi="Times New Roman" w:eastAsia="宋体"/>
          <w:color w:val="auto"/>
          <w:highlight w:val="none"/>
          <w:u w:val="none"/>
          <w:lang w:val="en-US" w:eastAsia="zh-CN"/>
        </w:rPr>
        <w:t>10</w:t>
      </w:r>
      <w:r>
        <w:rPr>
          <w:rFonts w:hint="eastAsia" w:ascii="Times New Roman" w:hAnsi="Times New Roman" w:eastAsia="宋体" w:cs="楷体"/>
          <w:bCs/>
          <w:snapToGrid w:val="0"/>
          <w:color w:val="auto"/>
          <w:highlight w:val="none"/>
          <w:u w:val="none"/>
        </w:rPr>
        <w:t>时</w:t>
      </w:r>
      <w:r>
        <w:rPr>
          <w:rFonts w:hint="eastAsia" w:ascii="Times New Roman" w:hAnsi="Times New Roman" w:eastAsia="宋体"/>
          <w:color w:val="auto"/>
          <w:highlight w:val="none"/>
          <w:u w:val="none"/>
          <w:lang w:val="en-US" w:eastAsia="zh-CN"/>
        </w:rPr>
        <w:t>00</w:t>
      </w:r>
      <w:r>
        <w:rPr>
          <w:rFonts w:hint="eastAsia" w:ascii="Times New Roman" w:hAnsi="Times New Roman" w:eastAsia="宋体" w:cs="楷体"/>
          <w:bCs/>
          <w:snapToGrid w:val="0"/>
          <w:color w:val="auto"/>
          <w:highlight w:val="none"/>
          <w:u w:val="none"/>
        </w:rPr>
        <w:t>分，投标人应在投标截止时间前通过</w:t>
      </w:r>
      <w:r>
        <w:rPr>
          <w:rFonts w:hint="eastAsia" w:ascii="Times New Roman" w:hAnsi="Times New Roman" w:eastAsia="宋体" w:cs="Times New Roman"/>
          <w:color w:val="auto"/>
          <w:szCs w:val="24"/>
          <w:highlight w:val="none"/>
          <w:u w:val="none"/>
          <w:lang w:val="en-US" w:eastAsia="zh-CN"/>
        </w:rPr>
        <w:t>安徽公共资源交易集团电子交易系统【新版】</w:t>
      </w:r>
      <w:r>
        <w:rPr>
          <w:rFonts w:hint="eastAsia" w:ascii="Times New Roman" w:hAnsi="Times New Roman" w:eastAsia="宋体" w:cs="楷体"/>
          <w:bCs/>
          <w:snapToGrid w:val="0"/>
          <w:color w:val="auto"/>
          <w:highlight w:val="none"/>
          <w:u w:val="none"/>
        </w:rPr>
        <w:t>递交电子投标文件。</w:t>
      </w:r>
    </w:p>
    <w:p w14:paraId="52786C88">
      <w:pPr>
        <w:pStyle w:val="2"/>
        <w:spacing w:before="240" w:after="240"/>
        <w:rPr>
          <w:rFonts w:hint="eastAsia" w:ascii="Times New Roman" w:hAnsi="Times New Roman" w:cs="黑体"/>
          <w:b w:val="0"/>
          <w:bCs w:val="0"/>
          <w:color w:val="auto"/>
          <w:highlight w:val="none"/>
          <w:u w:val="none"/>
        </w:rPr>
      </w:pPr>
      <w:bookmarkStart w:id="26" w:name="_Toc18907"/>
      <w:r>
        <w:rPr>
          <w:rFonts w:hint="eastAsia" w:ascii="Times New Roman" w:hAnsi="Times New Roman" w:cs="黑体"/>
          <w:b w:val="0"/>
          <w:bCs w:val="0"/>
          <w:color w:val="auto"/>
          <w:highlight w:val="none"/>
          <w:u w:val="none"/>
        </w:rPr>
        <w:t>6.资格审查方式</w:t>
      </w:r>
      <w:bookmarkEnd w:id="23"/>
      <w:bookmarkEnd w:id="24"/>
      <w:bookmarkEnd w:id="25"/>
      <w:bookmarkEnd w:id="26"/>
    </w:p>
    <w:p w14:paraId="6D684509">
      <w:pPr>
        <w:pStyle w:val="5"/>
        <w:spacing w:before="150" w:beforeAutospacing="0" w:after="150" w:afterAutospacing="0"/>
        <w:ind w:firstLine="641"/>
        <w:rPr>
          <w:rFonts w:hint="eastAsia" w:ascii="Times New Roman" w:hAnsi="Times New Roman" w:eastAsia="宋体"/>
          <w:bCs/>
          <w:snapToGrid w:val="0"/>
          <w:color w:val="auto"/>
          <w:highlight w:val="none"/>
          <w:u w:val="none"/>
        </w:rPr>
      </w:pPr>
      <w:r>
        <w:rPr>
          <w:rFonts w:hint="eastAsia" w:ascii="Times New Roman" w:hAnsi="Times New Roman" w:eastAsia="宋体"/>
          <w:bCs/>
          <w:snapToGrid w:val="0"/>
          <w:color w:val="auto"/>
          <w:highlight w:val="none"/>
          <w:u w:val="none"/>
        </w:rPr>
        <w:t>本招标项目采用资格后审方式进行资格审查。</w:t>
      </w:r>
    </w:p>
    <w:p w14:paraId="2440C18F">
      <w:pPr>
        <w:pStyle w:val="2"/>
        <w:spacing w:before="240" w:after="240"/>
        <w:rPr>
          <w:rFonts w:hint="eastAsia" w:ascii="Times New Roman" w:hAnsi="Times New Roman" w:cs="黑体"/>
          <w:b w:val="0"/>
          <w:bCs w:val="0"/>
          <w:color w:val="auto"/>
          <w:highlight w:val="none"/>
          <w:u w:val="none"/>
        </w:rPr>
      </w:pPr>
      <w:bookmarkStart w:id="27" w:name="_Toc25618"/>
      <w:bookmarkStart w:id="28" w:name="_Toc8268"/>
      <w:bookmarkStart w:id="29" w:name="_Toc14822"/>
      <w:bookmarkStart w:id="30" w:name="_Toc31865"/>
      <w:bookmarkStart w:id="31" w:name="_Toc11459"/>
      <w:bookmarkStart w:id="32" w:name="_Toc2185"/>
      <w:bookmarkStart w:id="33" w:name="_Toc4043"/>
      <w:r>
        <w:rPr>
          <w:rFonts w:hint="eastAsia" w:ascii="Times New Roman" w:hAnsi="Times New Roman" w:cs="黑体"/>
          <w:b w:val="0"/>
          <w:bCs w:val="0"/>
          <w:color w:val="auto"/>
          <w:highlight w:val="none"/>
          <w:u w:val="none"/>
        </w:rPr>
        <w:t>7.评标办法</w:t>
      </w:r>
      <w:bookmarkEnd w:id="27"/>
      <w:bookmarkEnd w:id="28"/>
      <w:bookmarkEnd w:id="29"/>
      <w:bookmarkEnd w:id="30"/>
    </w:p>
    <w:p w14:paraId="5C132D05">
      <w:pPr>
        <w:pStyle w:val="5"/>
        <w:spacing w:before="0" w:beforeAutospacing="0" w:after="0" w:afterAutospacing="0" w:line="360" w:lineRule="auto"/>
        <w:ind w:firstLine="480" w:firstLineChars="200"/>
        <w:rPr>
          <w:rFonts w:hint="eastAsia"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本招标项目评标办法采用综合评估法。（见招标文件第三章“评标办法”）</w:t>
      </w:r>
    </w:p>
    <w:p w14:paraId="48E35F0D">
      <w:pPr>
        <w:pStyle w:val="2"/>
        <w:tabs>
          <w:tab w:val="left" w:pos="7152"/>
        </w:tabs>
        <w:spacing w:before="240" w:after="240"/>
        <w:rPr>
          <w:rFonts w:hint="eastAsia" w:ascii="Times New Roman" w:hAnsi="Times New Roman" w:cs="黑体"/>
          <w:color w:val="auto"/>
          <w:highlight w:val="none"/>
          <w:u w:val="none"/>
        </w:rPr>
      </w:pPr>
      <w:bookmarkStart w:id="34" w:name="_Toc6702"/>
      <w:r>
        <w:rPr>
          <w:rFonts w:hint="eastAsia" w:ascii="Times New Roman" w:hAnsi="Times New Roman" w:cs="黑体"/>
          <w:b w:val="0"/>
          <w:bCs w:val="0"/>
          <w:color w:val="auto"/>
          <w:highlight w:val="none"/>
          <w:u w:val="none"/>
        </w:rPr>
        <w:t>8.开标时间及地点</w:t>
      </w:r>
      <w:bookmarkEnd w:id="31"/>
      <w:bookmarkEnd w:id="32"/>
      <w:bookmarkEnd w:id="33"/>
      <w:bookmarkEnd w:id="34"/>
      <w:r>
        <w:rPr>
          <w:rFonts w:ascii="Times New Roman" w:hAnsi="Times New Roman" w:cs="黑体"/>
          <w:color w:val="auto"/>
          <w:highlight w:val="none"/>
          <w:u w:val="none"/>
        </w:rPr>
        <w:tab/>
      </w:r>
    </w:p>
    <w:p w14:paraId="43727BAE">
      <w:pPr>
        <w:spacing w:line="440" w:lineRule="exact"/>
        <w:ind w:firstLine="435"/>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bCs/>
          <w:snapToGrid w:val="0"/>
          <w:color w:val="auto"/>
          <w:highlight w:val="none"/>
          <w:u w:val="none"/>
        </w:rPr>
        <w:t>8.1 开标时间：</w:t>
      </w:r>
      <w:r>
        <w:rPr>
          <w:rFonts w:hint="eastAsia" w:ascii="Times New Roman" w:hAnsi="Times New Roman" w:eastAsia="宋体" w:cs="Times New Roman"/>
          <w:color w:val="auto"/>
          <w:highlight w:val="none"/>
          <w:u w:val="none"/>
          <w:lang w:val="en-US" w:eastAsia="zh-CN"/>
        </w:rPr>
        <w:t>2026</w:t>
      </w:r>
      <w:r>
        <w:rPr>
          <w:rFonts w:hint="eastAsia" w:ascii="Times New Roman" w:hAnsi="Times New Roman" w:eastAsia="宋体" w:cs="楷体"/>
          <w:bCs/>
          <w:snapToGrid w:val="0"/>
          <w:color w:val="auto"/>
          <w:highlight w:val="none"/>
          <w:u w:val="none"/>
        </w:rPr>
        <w:t>年</w:t>
      </w:r>
      <w:r>
        <w:rPr>
          <w:rFonts w:hint="eastAsia" w:ascii="Times New Roman" w:hAnsi="Times New Roman" w:eastAsia="宋体" w:cs="Times New Roman"/>
          <w:color w:val="auto"/>
          <w:highlight w:val="none"/>
          <w:u w:val="none"/>
          <w:lang w:val="en-US" w:eastAsia="zh-CN"/>
        </w:rPr>
        <w:t>8</w:t>
      </w:r>
      <w:r>
        <w:rPr>
          <w:rFonts w:hint="eastAsia" w:ascii="Times New Roman" w:hAnsi="Times New Roman" w:eastAsia="宋体" w:cs="楷体"/>
          <w:bCs/>
          <w:snapToGrid w:val="0"/>
          <w:color w:val="auto"/>
          <w:highlight w:val="none"/>
          <w:u w:val="none"/>
        </w:rPr>
        <w:t>月</w:t>
      </w:r>
      <w:r>
        <w:rPr>
          <w:rFonts w:hint="eastAsia" w:ascii="Times New Roman" w:hAnsi="Times New Roman" w:eastAsia="宋体" w:cs="Times New Roman"/>
          <w:color w:val="auto"/>
          <w:highlight w:val="none"/>
          <w:u w:val="none"/>
          <w:lang w:val="en-US" w:eastAsia="zh-CN"/>
        </w:rPr>
        <w:t>25</w:t>
      </w:r>
      <w:r>
        <w:rPr>
          <w:rFonts w:hint="eastAsia" w:ascii="Times New Roman" w:hAnsi="Times New Roman" w:eastAsia="宋体" w:cs="楷体"/>
          <w:bCs/>
          <w:snapToGrid w:val="0"/>
          <w:color w:val="auto"/>
          <w:highlight w:val="none"/>
          <w:u w:val="none"/>
        </w:rPr>
        <w:t>日</w:t>
      </w:r>
      <w:r>
        <w:rPr>
          <w:rFonts w:hint="eastAsia" w:ascii="Times New Roman" w:hAnsi="Times New Roman" w:eastAsia="宋体" w:cs="Times New Roman"/>
          <w:color w:val="auto"/>
          <w:highlight w:val="none"/>
          <w:u w:val="none"/>
          <w:lang w:val="en-US" w:eastAsia="zh-CN"/>
        </w:rPr>
        <w:t>10</w:t>
      </w:r>
      <w:r>
        <w:rPr>
          <w:rFonts w:hint="eastAsia" w:ascii="Times New Roman" w:hAnsi="Times New Roman" w:eastAsia="宋体" w:cs="楷体"/>
          <w:bCs/>
          <w:snapToGrid w:val="0"/>
          <w:color w:val="auto"/>
          <w:highlight w:val="none"/>
          <w:u w:val="none"/>
        </w:rPr>
        <w:t>时</w:t>
      </w:r>
      <w:r>
        <w:rPr>
          <w:rFonts w:hint="eastAsia" w:ascii="Times New Roman" w:hAnsi="Times New Roman" w:eastAsia="宋体" w:cs="Times New Roman"/>
          <w:color w:val="auto"/>
          <w:highlight w:val="none"/>
          <w:u w:val="none"/>
          <w:lang w:val="en-US" w:eastAsia="zh-CN"/>
        </w:rPr>
        <w:t>00</w:t>
      </w:r>
      <w:r>
        <w:rPr>
          <w:rFonts w:hint="eastAsia" w:ascii="Times New Roman" w:hAnsi="Times New Roman" w:eastAsia="宋体" w:cs="楷体"/>
          <w:bCs/>
          <w:snapToGrid w:val="0"/>
          <w:color w:val="auto"/>
          <w:highlight w:val="none"/>
          <w:u w:val="none"/>
        </w:rPr>
        <w:t>分</w:t>
      </w:r>
      <w:r>
        <w:rPr>
          <w:rFonts w:hint="eastAsia" w:ascii="Times New Roman" w:hAnsi="Times New Roman" w:eastAsia="宋体" w:cs="宋体"/>
          <w:bCs/>
          <w:snapToGrid w:val="0"/>
          <w:color w:val="auto"/>
          <w:highlight w:val="none"/>
          <w:u w:val="none"/>
        </w:rPr>
        <w:t>。</w:t>
      </w:r>
    </w:p>
    <w:p w14:paraId="16656C0B">
      <w:pPr>
        <w:spacing w:line="440" w:lineRule="exact"/>
        <w:ind w:firstLine="435"/>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bCs/>
          <w:snapToGrid w:val="0"/>
          <w:color w:val="auto"/>
          <w:highlight w:val="none"/>
          <w:u w:val="none"/>
        </w:rPr>
        <w:t>8.2 开标地点：</w:t>
      </w:r>
    </w:p>
    <w:p w14:paraId="52F2357A">
      <w:pPr>
        <w:spacing w:line="440" w:lineRule="exact"/>
        <w:ind w:firstLine="435"/>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color w:val="auto"/>
          <w:highlight w:val="none"/>
          <w:u w:val="none"/>
          <w:lang w:eastAsia="zh-CN"/>
        </w:rPr>
        <w:t>☑合肥市滨湖新区南京路2588号要素交易市场A区（徽州大道与南京路交口）2楼11号开标室</w:t>
      </w:r>
      <w:r>
        <w:rPr>
          <w:rFonts w:hint="eastAsia" w:ascii="Times New Roman" w:hAnsi="Times New Roman" w:eastAsia="宋体" w:cs="宋体"/>
          <w:bCs/>
          <w:snapToGrid w:val="0"/>
          <w:color w:val="auto"/>
          <w:highlight w:val="none"/>
          <w:u w:val="none"/>
        </w:rPr>
        <w:t>。</w:t>
      </w:r>
    </w:p>
    <w:p w14:paraId="68C97390">
      <w:pPr>
        <w:spacing w:line="440" w:lineRule="exact"/>
        <w:ind w:firstLine="435"/>
        <w:rPr>
          <w:rFonts w:hint="eastAsia" w:ascii="Times New Roman" w:hAnsi="Times New Roman" w:eastAsia="宋体" w:cs="宋体"/>
          <w:bCs/>
          <w:strike w:val="0"/>
          <w:dstrike w:val="0"/>
          <w:snapToGrid w:val="0"/>
          <w:color w:val="auto"/>
          <w:highlight w:val="none"/>
          <w:u w:val="none"/>
        </w:rPr>
      </w:pPr>
      <w:r>
        <w:rPr>
          <w:rFonts w:hint="eastAsia" w:ascii="Times New Roman" w:hAnsi="Times New Roman" w:eastAsia="宋体" w:cs="宋体"/>
          <w:color w:val="auto"/>
          <w:highlight w:val="none"/>
          <w:u w:val="none"/>
          <w:lang w:eastAsia="zh-CN"/>
        </w:rPr>
        <w:t>☑</w:t>
      </w:r>
      <w:r>
        <w:rPr>
          <w:rFonts w:hint="eastAsia" w:ascii="Times New Roman" w:hAnsi="Times New Roman" w:eastAsia="宋体" w:cs="宋体"/>
          <w:bCs/>
          <w:snapToGrid w:val="0"/>
          <w:color w:val="auto"/>
          <w:highlight w:val="none"/>
          <w:u w:val="none"/>
        </w:rPr>
        <w:t>本招标项目采用“云上开标大厅”方式开标</w:t>
      </w:r>
      <w:r>
        <w:rPr>
          <w:rFonts w:hint="eastAsia" w:ascii="Times New Roman" w:hAnsi="Times New Roman" w:eastAsia="宋体" w:cs="宋体"/>
          <w:bCs/>
          <w:strike w:val="0"/>
          <w:dstrike w:val="0"/>
          <w:snapToGrid w:val="0"/>
          <w:color w:val="auto"/>
          <w:highlight w:val="none"/>
          <w:u w:val="none"/>
          <w:lang w:eastAsia="zh-CN"/>
        </w:rPr>
        <w:t>。</w:t>
      </w:r>
      <w:r>
        <w:rPr>
          <w:rFonts w:hint="eastAsia" w:ascii="Times New Roman" w:hAnsi="Times New Roman" w:eastAsia="宋体" w:cs="宋体"/>
          <w:strike w:val="0"/>
          <w:dstrike w:val="0"/>
          <w:color w:val="auto"/>
          <w:highlight w:val="none"/>
          <w:u w:val="none"/>
        </w:rPr>
        <w:t xml:space="preserve"> </w:t>
      </w:r>
    </w:p>
    <w:p w14:paraId="4C5548E6">
      <w:pPr>
        <w:pStyle w:val="2"/>
        <w:spacing w:before="240" w:after="240"/>
        <w:rPr>
          <w:rFonts w:hint="eastAsia" w:ascii="Times New Roman" w:hAnsi="Times New Roman" w:cs="黑体"/>
          <w:b w:val="0"/>
          <w:bCs w:val="0"/>
          <w:color w:val="auto"/>
          <w:highlight w:val="none"/>
          <w:u w:val="none"/>
        </w:rPr>
      </w:pPr>
      <w:bookmarkStart w:id="35" w:name="_Toc2999"/>
      <w:bookmarkStart w:id="36" w:name="_Toc5604"/>
      <w:bookmarkStart w:id="37" w:name="_Toc28548"/>
      <w:bookmarkStart w:id="38" w:name="_Toc5449"/>
      <w:r>
        <w:rPr>
          <w:rFonts w:hint="eastAsia" w:ascii="Times New Roman" w:hAnsi="Times New Roman" w:cs="黑体"/>
          <w:b w:val="0"/>
          <w:bCs w:val="0"/>
          <w:color w:val="auto"/>
          <w:highlight w:val="none"/>
          <w:u w:val="none"/>
        </w:rPr>
        <w:t>9.招标文件的异议</w:t>
      </w:r>
      <w:bookmarkEnd w:id="35"/>
      <w:bookmarkEnd w:id="36"/>
      <w:bookmarkEnd w:id="37"/>
      <w:r>
        <w:rPr>
          <w:rFonts w:hint="eastAsia" w:ascii="Times New Roman" w:hAnsi="Times New Roman" w:cs="黑体"/>
          <w:b w:val="0"/>
          <w:bCs w:val="0"/>
          <w:color w:val="auto"/>
          <w:highlight w:val="none"/>
          <w:u w:val="none"/>
          <w:lang w:eastAsia="zh-CN"/>
        </w:rPr>
        <w:t>、</w:t>
      </w:r>
      <w:r>
        <w:rPr>
          <w:rFonts w:hint="eastAsia" w:ascii="Times New Roman" w:hAnsi="Times New Roman" w:cs="黑体"/>
          <w:b w:val="0"/>
          <w:bCs w:val="0"/>
          <w:color w:val="auto"/>
          <w:highlight w:val="none"/>
          <w:u w:val="none"/>
          <w:lang w:val="en-US" w:eastAsia="zh-CN"/>
        </w:rPr>
        <w:t>投诉</w:t>
      </w:r>
      <w:bookmarkEnd w:id="38"/>
    </w:p>
    <w:p w14:paraId="23541EE9">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bCs/>
          <w:snapToGrid w:val="0"/>
          <w:color w:val="auto"/>
          <w:highlight w:val="none"/>
          <w:u w:val="none"/>
          <w:lang w:val="en-US" w:eastAsia="zh-CN"/>
        </w:rPr>
        <w:t xml:space="preserve">9.1 </w:t>
      </w:r>
      <w:r>
        <w:rPr>
          <w:rFonts w:hint="eastAsia" w:ascii="Times New Roman" w:hAnsi="Times New Roman" w:eastAsia="宋体" w:cs="宋体"/>
          <w:bCs/>
          <w:snapToGrid w:val="0"/>
          <w:color w:val="auto"/>
          <w:highlight w:val="none"/>
          <w:u w:val="none"/>
        </w:rPr>
        <w:t>投标人或者其他利害关系人对招标文件有异议的，应当在规定时</w:t>
      </w:r>
      <w:r>
        <w:rPr>
          <w:rFonts w:hint="eastAsia" w:ascii="Times New Roman" w:hAnsi="Times New Roman" w:eastAsia="宋体" w:cs="宋体"/>
          <w:bCs/>
          <w:snapToGrid w:val="0"/>
          <w:color w:val="auto"/>
          <w:highlight w:val="none"/>
          <w:u w:val="none"/>
          <w:lang w:eastAsia="zh-CN"/>
        </w:rPr>
        <w:t>间内</w:t>
      </w:r>
      <w:r>
        <w:rPr>
          <w:rFonts w:hint="eastAsia" w:ascii="Times New Roman" w:hAnsi="Times New Roman" w:eastAsia="宋体" w:cs="宋体"/>
          <w:bCs/>
          <w:snapToGrid w:val="0"/>
          <w:color w:val="auto"/>
          <w:highlight w:val="none"/>
          <w:u w:val="none"/>
        </w:rPr>
        <w:t>通过电子交易系统在线提出或以其他书面形式提出。</w:t>
      </w:r>
    </w:p>
    <w:p w14:paraId="5C7AA7D2">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ascii="宋体" w:hAnsi="宋体" w:eastAsia="宋体" w:cs="宋体"/>
          <w:color w:val="auto"/>
          <w:sz w:val="24"/>
          <w:szCs w:val="24"/>
          <w:highlight w:val="none"/>
          <w:u w:val="none"/>
        </w:rPr>
      </w:pPr>
      <w:r>
        <w:rPr>
          <w:rFonts w:hint="eastAsia" w:ascii="Times New Roman" w:hAnsi="Times New Roman" w:eastAsia="宋体" w:cs="宋体"/>
          <w:bCs/>
          <w:snapToGrid w:val="0"/>
          <w:color w:val="auto"/>
          <w:highlight w:val="none"/>
          <w:u w:val="none"/>
          <w:lang w:val="en-US" w:eastAsia="zh-CN"/>
        </w:rPr>
        <w:t xml:space="preserve">9.2 </w:t>
      </w:r>
      <w:r>
        <w:rPr>
          <w:rFonts w:ascii="宋体" w:hAnsi="宋体" w:eastAsia="宋体" w:cs="宋体"/>
          <w:color w:val="auto"/>
          <w:sz w:val="24"/>
          <w:szCs w:val="24"/>
          <w:highlight w:val="none"/>
          <w:u w:val="none"/>
        </w:rPr>
        <w:t>投标人或者其他利害关系人对招标人、招标代理机构的答复不满意，或者招标人、招标代理机构未在规定时间内作出答复的，可以在规定时间内通过网上投诉系统或以其他书面形式向监管部门提出投诉。</w:t>
      </w:r>
    </w:p>
    <w:p w14:paraId="6C97F85E">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eastAsia" w:ascii="Times New Roman" w:hAnsi="Times New Roman" w:eastAsia="宋体" w:cs="Times New Roman"/>
          <w:color w:val="auto"/>
          <w:highlight w:val="none"/>
          <w:u w:val="none"/>
          <w:lang w:val="en-US" w:eastAsia="zh-CN"/>
        </w:rPr>
      </w:pPr>
      <w:r>
        <w:rPr>
          <w:rFonts w:hint="eastAsia" w:ascii="Times New Roman" w:hAnsi="Times New Roman" w:eastAsia="宋体" w:cs="宋体"/>
          <w:bCs/>
          <w:snapToGrid w:val="0"/>
          <w:color w:val="auto"/>
          <w:highlight w:val="none"/>
          <w:u w:val="none"/>
          <w:lang w:val="en-US" w:eastAsia="zh-CN"/>
        </w:rPr>
        <w:t>9.3 受理异议的联系人和联系方式见招标公告11.1和11.2。</w:t>
      </w:r>
    </w:p>
    <w:p w14:paraId="016CD499">
      <w:pPr>
        <w:pStyle w:val="2"/>
        <w:spacing w:before="240" w:after="240"/>
        <w:rPr>
          <w:rFonts w:hint="eastAsia" w:ascii="Times New Roman" w:hAnsi="Times New Roman" w:cs="黑体"/>
          <w:b w:val="0"/>
          <w:bCs w:val="0"/>
          <w:color w:val="auto"/>
          <w:highlight w:val="none"/>
          <w:u w:val="none"/>
        </w:rPr>
      </w:pPr>
      <w:bookmarkStart w:id="39" w:name="_Toc1330"/>
      <w:bookmarkStart w:id="40" w:name="_Toc2191"/>
      <w:bookmarkStart w:id="41" w:name="_Toc9105"/>
      <w:bookmarkStart w:id="42" w:name="_Toc10280"/>
      <w:r>
        <w:rPr>
          <w:rFonts w:hint="eastAsia" w:ascii="Times New Roman" w:hAnsi="Times New Roman" w:cs="黑体"/>
          <w:b w:val="0"/>
          <w:bCs w:val="0"/>
          <w:color w:val="auto"/>
          <w:highlight w:val="none"/>
          <w:u w:val="none"/>
        </w:rPr>
        <w:t>10.发布公告的媒介</w:t>
      </w:r>
      <w:bookmarkEnd w:id="39"/>
      <w:bookmarkEnd w:id="40"/>
      <w:bookmarkEnd w:id="41"/>
      <w:bookmarkEnd w:id="42"/>
    </w:p>
    <w:p w14:paraId="4CBF8DD2">
      <w:pPr>
        <w:spacing w:line="360" w:lineRule="auto"/>
        <w:ind w:firstLine="480" w:firstLineChars="200"/>
        <w:rPr>
          <w:rFonts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本次招标公告同时在</w:t>
      </w:r>
      <w:r>
        <w:rPr>
          <w:rFonts w:hint="eastAsia" w:ascii="Times New Roman" w:hAnsi="Times New Roman" w:eastAsia="宋体" w:cs="楷体"/>
          <w:bCs/>
          <w:snapToGrid w:val="0"/>
          <w:color w:val="auto"/>
          <w:highlight w:val="none"/>
          <w:u w:val="none"/>
        </w:rPr>
        <w:t>安徽合肥公共资源交易中心网站、安徽省公共资源交易监管网、全国公共资源交易平台</w:t>
      </w:r>
      <w:r>
        <w:rPr>
          <w:rFonts w:hint="eastAsia" w:ascii="Times New Roman" w:hAnsi="Times New Roman" w:eastAsia="宋体" w:cs="Times New Roman"/>
          <w:color w:val="auto"/>
          <w:highlight w:val="none"/>
          <w:u w:val="none"/>
        </w:rPr>
        <w:t>上发布。</w:t>
      </w:r>
    </w:p>
    <w:p w14:paraId="4F521A02">
      <w:pPr>
        <w:pStyle w:val="2"/>
        <w:spacing w:before="240" w:after="240"/>
        <w:rPr>
          <w:rFonts w:hint="eastAsia" w:ascii="Times New Roman" w:hAnsi="Times New Roman" w:cs="黑体"/>
          <w:b w:val="0"/>
          <w:bCs w:val="0"/>
          <w:color w:val="auto"/>
          <w:highlight w:val="none"/>
          <w:u w:val="none"/>
        </w:rPr>
      </w:pPr>
      <w:bookmarkStart w:id="43" w:name="_Toc6058"/>
      <w:bookmarkStart w:id="44" w:name="_Toc16920"/>
      <w:bookmarkStart w:id="45" w:name="_Toc3970"/>
      <w:bookmarkStart w:id="46" w:name="_Toc29009"/>
      <w:r>
        <w:rPr>
          <w:rFonts w:hint="eastAsia" w:ascii="Times New Roman" w:hAnsi="Times New Roman" w:cs="黑体"/>
          <w:b w:val="0"/>
          <w:bCs w:val="0"/>
          <w:color w:val="auto"/>
          <w:highlight w:val="none"/>
          <w:u w:val="none"/>
        </w:rPr>
        <w:t>11.联系方式</w:t>
      </w:r>
      <w:bookmarkEnd w:id="43"/>
      <w:bookmarkEnd w:id="44"/>
      <w:bookmarkEnd w:id="45"/>
      <w:bookmarkEnd w:id="46"/>
    </w:p>
    <w:p w14:paraId="1528096D">
      <w:pPr>
        <w:spacing w:line="360" w:lineRule="auto"/>
        <w:ind w:firstLine="480" w:firstLineChars="200"/>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11.1 招标人</w:t>
      </w:r>
    </w:p>
    <w:p w14:paraId="5E0B4E43">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招 标 人：安徽和鼎机电设备有限公司</w:t>
      </w:r>
    </w:p>
    <w:p w14:paraId="0C796CF1">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地    址：安徽省合肥市肥西县经济开发区汤口路40号</w:t>
      </w:r>
    </w:p>
    <w:p w14:paraId="755E6165">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邮    编：230601</w:t>
      </w:r>
    </w:p>
    <w:p w14:paraId="7C6DFEA3">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 xml:space="preserve">联 系 人：倪工  </w:t>
      </w:r>
    </w:p>
    <w:p w14:paraId="3E2C24FC">
      <w:pPr>
        <w:spacing w:line="360" w:lineRule="auto"/>
        <w:ind w:firstLine="480" w:firstLineChars="200"/>
        <w:rPr>
          <w:rFonts w:ascii="Times New Roman" w:hAnsi="Times New Roman" w:eastAsia="宋体" w:cs="Times New Roman"/>
          <w:color w:val="auto"/>
          <w:highlight w:val="none"/>
          <w:u w:val="none"/>
        </w:rPr>
      </w:pPr>
      <w:r>
        <w:rPr>
          <w:rFonts w:hint="eastAsia" w:ascii="Times New Roman" w:hAnsi="Times New Roman" w:eastAsia="宋体" w:cs="Times New Roman"/>
          <w:color w:val="auto"/>
          <w:szCs w:val="24"/>
          <w:highlight w:val="none"/>
          <w:u w:val="none"/>
        </w:rPr>
        <w:t>联系方式：0551-63502018-8317</w:t>
      </w:r>
    </w:p>
    <w:p w14:paraId="293339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rPr>
      </w:pPr>
      <w:bookmarkStart w:id="47" w:name="_Toc10284"/>
      <w:bookmarkStart w:id="48" w:name="_Toc130919067"/>
      <w:bookmarkStart w:id="49" w:name="_Toc4638"/>
      <w:r>
        <w:rPr>
          <w:rFonts w:hint="eastAsia" w:ascii="Times New Roman" w:hAnsi="Times New Roman" w:eastAsia="宋体" w:cs="楷体"/>
          <w:bCs/>
          <w:snapToGrid w:val="0"/>
          <w:color w:val="auto"/>
          <w:highlight w:val="none"/>
          <w:u w:val="none"/>
        </w:rPr>
        <w:t>11.2 招标代理机构</w:t>
      </w:r>
    </w:p>
    <w:p w14:paraId="1EB6DC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招标代理机构：</w:t>
      </w:r>
      <w:r>
        <w:rPr>
          <w:rFonts w:hint="eastAsia" w:ascii="Times New Roman" w:hAnsi="Times New Roman" w:eastAsia="宋体" w:cs="Times New Roman"/>
          <w:color w:val="auto"/>
          <w:highlight w:val="none"/>
          <w:u w:val="none"/>
          <w:lang w:eastAsia="zh-CN"/>
        </w:rPr>
        <w:t>安徽公共资源交易集团项目管理有限公司</w:t>
      </w:r>
    </w:p>
    <w:p w14:paraId="31DCC5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地    址：合肥市滨湖新区南京路2588号（徽州大道与南京路交口）六楼</w:t>
      </w:r>
    </w:p>
    <w:p w14:paraId="54631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邮    编：230000</w:t>
      </w:r>
    </w:p>
    <w:p w14:paraId="551D0AB7">
      <w:pPr>
        <w:spacing w:line="360" w:lineRule="auto"/>
        <w:ind w:firstLine="480" w:firstLineChars="200"/>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项目负责人（</w:t>
      </w:r>
      <w:r>
        <w:rPr>
          <w:rFonts w:hint="eastAsia" w:ascii="Times New Roman" w:hAnsi="Times New Roman" w:eastAsia="宋体" w:cs="Times New Roman"/>
          <w:color w:val="auto"/>
          <w:sz w:val="24"/>
          <w:szCs w:val="24"/>
          <w:highlight w:val="none"/>
          <w:u w:val="none"/>
        </w:rPr>
        <w:t>联系人</w:t>
      </w: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rPr>
        <w:t>：</w:t>
      </w:r>
      <w:r>
        <w:rPr>
          <w:rFonts w:hint="eastAsia" w:ascii="Times New Roman" w:hAnsi="Times New Roman" w:eastAsia="宋体" w:cs="Times New Roman"/>
          <w:color w:val="auto"/>
          <w:sz w:val="24"/>
          <w:szCs w:val="24"/>
          <w:highlight w:val="none"/>
          <w:u w:val="none"/>
          <w:lang w:val="en-US" w:eastAsia="zh-CN"/>
        </w:rPr>
        <w:t>郭晓舟</w:t>
      </w:r>
    </w:p>
    <w:p w14:paraId="7AE099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sz w:val="24"/>
          <w:szCs w:val="24"/>
          <w:highlight w:val="none"/>
          <w:u w:val="none"/>
          <w:lang w:val="en-US" w:eastAsia="zh-CN"/>
        </w:rPr>
        <w:t>联系方式：0</w:t>
      </w:r>
      <w:r>
        <w:rPr>
          <w:rFonts w:hint="eastAsia" w:ascii="Times New Roman" w:hAnsi="Times New Roman" w:eastAsia="宋体" w:cs="Times New Roman"/>
          <w:color w:val="auto"/>
          <w:highlight w:val="none"/>
          <w:u w:val="none"/>
        </w:rPr>
        <w:t>551-6622</w:t>
      </w:r>
      <w:r>
        <w:rPr>
          <w:rFonts w:hint="eastAsia" w:ascii="Times New Roman" w:hAnsi="Times New Roman" w:eastAsia="宋体" w:cs="Times New Roman"/>
          <w:color w:val="auto"/>
          <w:highlight w:val="none"/>
          <w:u w:val="none"/>
          <w:lang w:val="en-US" w:eastAsia="zh-CN"/>
        </w:rPr>
        <w:t>3195</w:t>
      </w:r>
      <w:r>
        <w:rPr>
          <w:rFonts w:hint="eastAsia" w:ascii="Times New Roman" w:hAnsi="Times New Roman" w:eastAsia="宋体" w:cs="Times New Roman"/>
          <w:color w:val="auto"/>
          <w:highlight w:val="none"/>
          <w:u w:val="none"/>
        </w:rPr>
        <w:t>、66223831</w:t>
      </w:r>
    </w:p>
    <w:p w14:paraId="0AE398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11.3 电子交易系统</w:t>
      </w:r>
    </w:p>
    <w:p w14:paraId="6A635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w:t>
      </w:r>
      <w:r>
        <w:rPr>
          <w:rFonts w:hint="eastAsia" w:ascii="Times New Roman" w:hAnsi="Times New Roman" w:eastAsia="宋体" w:cs="Times New Roman"/>
          <w:color w:val="auto"/>
          <w:highlight w:val="none"/>
          <w:u w:val="none"/>
          <w:shd w:val="clear" w:color="auto" w:fill="auto"/>
        </w:rPr>
        <w:t>系统名称：</w:t>
      </w:r>
      <w:r>
        <w:rPr>
          <w:rFonts w:hint="eastAsia" w:ascii="Times New Roman" w:hAnsi="Times New Roman" w:eastAsia="宋体" w:cs="Times New Roman"/>
          <w:color w:val="auto"/>
          <w:szCs w:val="24"/>
          <w:highlight w:val="none"/>
          <w:u w:val="none"/>
          <w:shd w:val="clear" w:color="auto" w:fill="auto"/>
          <w:lang w:val="en-US" w:eastAsia="zh-CN"/>
        </w:rPr>
        <w:t>安徽公共资源交易集团电子交易系统【新版】</w:t>
      </w:r>
    </w:p>
    <w:p w14:paraId="1F7240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电子交易系统电话：</w:t>
      </w:r>
      <w:r>
        <w:rPr>
          <w:rFonts w:hint="eastAsia" w:ascii="Times New Roman" w:hAnsi="Times New Roman" w:eastAsia="宋体" w:cs="Times New Roman"/>
          <w:color w:val="auto"/>
          <w:highlight w:val="none"/>
          <w:u w:val="none"/>
          <w:shd w:val="clear" w:color="auto" w:fill="auto"/>
          <w:lang w:val="en-US" w:eastAsia="zh-CN"/>
        </w:rPr>
        <w:t>0512-58188516</w:t>
      </w:r>
    </w:p>
    <w:p w14:paraId="3F0482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11.3 电子交易系统</w:t>
      </w:r>
    </w:p>
    <w:p w14:paraId="6D671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w:t>
      </w:r>
      <w:r>
        <w:rPr>
          <w:rFonts w:hint="eastAsia" w:ascii="Times New Roman" w:hAnsi="Times New Roman" w:eastAsia="宋体" w:cs="Times New Roman"/>
          <w:color w:val="auto"/>
          <w:highlight w:val="none"/>
          <w:u w:val="none"/>
          <w:shd w:val="clear" w:color="auto" w:fill="auto"/>
        </w:rPr>
        <w:t>系统名称：安徽公共资源交易集团电子交易系统</w:t>
      </w:r>
    </w:p>
    <w:p w14:paraId="7F5592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电子交易系统电话：</w:t>
      </w:r>
      <w:r>
        <w:rPr>
          <w:rFonts w:hint="eastAsia" w:ascii="Times New Roman" w:hAnsi="Times New Roman" w:eastAsia="宋体" w:cs="Times New Roman"/>
          <w:color w:val="auto"/>
          <w:highlight w:val="none"/>
          <w:u w:val="none"/>
          <w:shd w:val="clear" w:color="auto" w:fill="auto"/>
          <w:lang w:val="en-US" w:eastAsia="zh-CN"/>
        </w:rPr>
        <w:t>0512-58188516</w:t>
      </w:r>
    </w:p>
    <w:p w14:paraId="49851C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11.4 电子服务系统</w:t>
      </w:r>
    </w:p>
    <w:p w14:paraId="173141D0">
      <w:pPr>
        <w:spacing w:line="360" w:lineRule="auto"/>
        <w:ind w:firstLine="480" w:firstLineChars="200"/>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rPr>
        <w:t xml:space="preserve">电子服务系统名称：安徽合肥公共资源交易电子服务系统 </w:t>
      </w:r>
    </w:p>
    <w:p w14:paraId="7904E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rPr>
        <w:t>电子服务系统电话：0551-66223830、0512-58188516</w:t>
      </w:r>
    </w:p>
    <w:p w14:paraId="24B9C3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11.5</w:t>
      </w:r>
      <w:r>
        <w:rPr>
          <w:rFonts w:hint="eastAsia" w:ascii="Times New Roman" w:hAnsi="Times New Roman" w:eastAsia="宋体" w:cs="楷体"/>
          <w:bCs/>
          <w:snapToGrid w:val="0"/>
          <w:color w:val="auto"/>
          <w:highlight w:val="none"/>
          <w:u w:val="none"/>
          <w:shd w:val="clear" w:color="auto" w:fill="auto"/>
          <w:lang w:val="en-US" w:eastAsia="zh-CN"/>
        </w:rPr>
        <w:t xml:space="preserve"> </w:t>
      </w:r>
      <w:r>
        <w:rPr>
          <w:rFonts w:hint="eastAsia" w:ascii="Times New Roman" w:hAnsi="Times New Roman" w:eastAsia="宋体" w:cs="楷体"/>
          <w:bCs/>
          <w:snapToGrid w:val="0"/>
          <w:color w:val="auto"/>
          <w:highlight w:val="none"/>
          <w:u w:val="none"/>
          <w:shd w:val="clear" w:color="auto" w:fill="auto"/>
        </w:rPr>
        <w:t>公共资源交易监督管理部门</w:t>
      </w:r>
    </w:p>
    <w:p w14:paraId="0A868A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公共资源交易监督管理部门：</w:t>
      </w:r>
      <w:r>
        <w:rPr>
          <w:rFonts w:hint="eastAsia" w:ascii="Times New Roman" w:hAnsi="Times New Roman" w:eastAsia="宋体" w:cs="Times New Roman"/>
          <w:color w:val="auto"/>
          <w:highlight w:val="none"/>
          <w:u w:val="none"/>
          <w:shd w:val="clear" w:color="auto" w:fill="auto"/>
        </w:rPr>
        <w:t>合肥市公共资源交易监督管理局</w:t>
      </w:r>
    </w:p>
    <w:p w14:paraId="3CDA59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rPr>
        <w:t>地    址：合肥市滨湖区南京路2588号</w:t>
      </w:r>
    </w:p>
    <w:p w14:paraId="26B6AF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lang w:val="en-US" w:eastAsia="zh-CN"/>
        </w:rPr>
        <w:t>联系方式</w:t>
      </w:r>
      <w:r>
        <w:rPr>
          <w:rFonts w:hint="eastAsia" w:ascii="Times New Roman" w:hAnsi="Times New Roman" w:eastAsia="宋体" w:cs="Times New Roman"/>
          <w:color w:val="auto"/>
          <w:highlight w:val="none"/>
          <w:u w:val="none"/>
          <w:shd w:val="clear" w:color="auto" w:fill="auto"/>
        </w:rPr>
        <w:t>：0551-66223530、0551-66223</w:t>
      </w:r>
      <w:r>
        <w:rPr>
          <w:rFonts w:hint="eastAsia" w:ascii="Times New Roman" w:hAnsi="Times New Roman" w:eastAsia="宋体" w:cs="Times New Roman"/>
          <w:color w:val="auto"/>
          <w:highlight w:val="none"/>
          <w:u w:val="none"/>
          <w:shd w:val="clear" w:color="auto" w:fill="auto"/>
          <w:lang w:val="en-US" w:eastAsia="zh-CN"/>
        </w:rPr>
        <w:t>680</w:t>
      </w:r>
    </w:p>
    <w:p w14:paraId="11858604">
      <w:pPr>
        <w:spacing w:before="240" w:beforeLines="100" w:after="240" w:afterLines="100"/>
        <w:outlineLvl w:val="1"/>
        <w:rPr>
          <w:rFonts w:hint="eastAsia" w:ascii="Times New Roman" w:hAnsi="Times New Roman" w:eastAsia="黑体" w:cs="Times New Roman"/>
          <w:color w:val="auto"/>
          <w:sz w:val="32"/>
          <w:szCs w:val="32"/>
          <w:highlight w:val="none"/>
          <w:u w:val="none"/>
        </w:rPr>
      </w:pPr>
      <w:bookmarkStart w:id="50" w:name="_Toc11136"/>
      <w:r>
        <w:rPr>
          <w:rFonts w:hint="eastAsia" w:ascii="Times New Roman" w:hAnsi="Times New Roman" w:eastAsia="黑体" w:cs="Times New Roman"/>
          <w:color w:val="auto"/>
          <w:sz w:val="32"/>
          <w:szCs w:val="32"/>
          <w:highlight w:val="none"/>
          <w:u w:val="none"/>
        </w:rPr>
        <w:t>12.其他事项说明</w:t>
      </w:r>
      <w:bookmarkEnd w:id="47"/>
      <w:bookmarkEnd w:id="48"/>
      <w:bookmarkEnd w:id="49"/>
      <w:bookmarkEnd w:id="50"/>
    </w:p>
    <w:p w14:paraId="4ADAADB1">
      <w:pPr>
        <w:spacing w:line="440" w:lineRule="exact"/>
        <w:ind w:firstLine="480" w:firstLineChars="200"/>
        <w:rPr>
          <w:rFonts w:hint="eastAsia" w:ascii="Times New Roman" w:hAnsi="宋体" w:eastAsia="宋体" w:cs="楷体"/>
          <w:bCs/>
          <w:snapToGrid w:val="0"/>
          <w:color w:val="auto"/>
          <w:szCs w:val="24"/>
          <w:highlight w:val="none"/>
          <w:u w:val="none"/>
        </w:rPr>
      </w:pPr>
      <w:bookmarkStart w:id="51" w:name="_Toc8187"/>
      <w:bookmarkStart w:id="52" w:name="_Toc30094"/>
      <w:bookmarkStart w:id="53" w:name="_Toc130919068"/>
      <w:r>
        <w:rPr>
          <w:rFonts w:hint="eastAsia" w:ascii="Times New Roman" w:hAnsi="宋体" w:eastAsia="宋体" w:cs="楷体"/>
          <w:bCs/>
          <w:snapToGrid w:val="0"/>
          <w:color w:val="auto"/>
          <w:szCs w:val="24"/>
          <w:highlight w:val="none"/>
          <w:u w:val="none"/>
          <w:lang w:val="en-US" w:eastAsia="zh-CN"/>
        </w:rPr>
        <w:t>12</w:t>
      </w:r>
      <w:r>
        <w:rPr>
          <w:rFonts w:hint="eastAsia" w:ascii="Times New Roman" w:hAnsi="宋体" w:eastAsia="宋体" w:cs="楷体"/>
          <w:bCs/>
          <w:snapToGrid w:val="0"/>
          <w:color w:val="auto"/>
          <w:szCs w:val="24"/>
          <w:highlight w:val="none"/>
          <w:u w:val="none"/>
        </w:rPr>
        <w:t>.1 投标人应合理安排招标文件获取时间，特别是网络速度慢的地区防止在系统关闭前网络拥堵无法操作。如果因计算机及网络故障造成无法完成招标文件获取，责任自负。</w:t>
      </w:r>
    </w:p>
    <w:p w14:paraId="04F79EE1">
      <w:pPr>
        <w:spacing w:before="240" w:beforeLines="100" w:after="240" w:afterLines="100"/>
        <w:outlineLvl w:val="1"/>
        <w:rPr>
          <w:rFonts w:hint="eastAsia" w:ascii="Times New Roman" w:hAnsi="Times New Roman" w:eastAsia="黑体" w:cs="Times New Roman"/>
          <w:color w:val="auto"/>
          <w:sz w:val="32"/>
          <w:szCs w:val="32"/>
          <w:highlight w:val="none"/>
          <w:u w:val="none"/>
        </w:rPr>
      </w:pPr>
      <w:bookmarkStart w:id="54" w:name="_Toc30911"/>
      <w:r>
        <w:rPr>
          <w:rFonts w:hint="eastAsia" w:ascii="Times New Roman" w:hAnsi="Times New Roman" w:eastAsia="黑体" w:cs="Times New Roman"/>
          <w:color w:val="auto"/>
          <w:sz w:val="32"/>
          <w:szCs w:val="32"/>
          <w:highlight w:val="none"/>
          <w:u w:val="none"/>
        </w:rPr>
        <w:t>13.投标保证金账户</w:t>
      </w:r>
      <w:bookmarkEnd w:id="51"/>
      <w:bookmarkEnd w:id="52"/>
      <w:bookmarkEnd w:id="53"/>
      <w:bookmarkEnd w:id="54"/>
    </w:p>
    <w:p w14:paraId="506C02F0">
      <w:pPr>
        <w:spacing w:line="440" w:lineRule="exact"/>
        <w:ind w:firstLine="480" w:firstLineChars="200"/>
        <w:rPr>
          <w:rFonts w:hint="eastAsia" w:ascii="Times New Roman" w:hAnsi="宋体" w:eastAsia="宋体" w:cs="楷体"/>
          <w:bCs/>
          <w:snapToGrid w:val="0"/>
          <w:color w:val="auto"/>
          <w:szCs w:val="24"/>
          <w:highlight w:val="none"/>
          <w:u w:val="none"/>
          <w:lang w:val="en-US" w:eastAsia="zh-CN"/>
        </w:rPr>
      </w:pPr>
      <w:r>
        <w:rPr>
          <w:rFonts w:hint="eastAsia" w:ascii="Times New Roman" w:hAnsi="宋体" w:eastAsia="宋体" w:cs="楷体"/>
          <w:bCs/>
          <w:snapToGrid w:val="0"/>
          <w:color w:val="auto"/>
          <w:szCs w:val="24"/>
          <w:highlight w:val="none"/>
          <w:u w:val="none"/>
          <w:lang w:val="en-US" w:eastAsia="zh-CN"/>
        </w:rPr>
        <w:t>标段简称:安徽和鼎机电设备有限公司肥西县和鼎机电分布式光伏发电项目</w:t>
      </w:r>
    </w:p>
    <w:p w14:paraId="7733F57F">
      <w:pPr>
        <w:spacing w:line="440" w:lineRule="exact"/>
        <w:ind w:firstLine="480" w:firstLineChars="200"/>
        <w:rPr>
          <w:rFonts w:hint="eastAsia" w:ascii="Times New Roman" w:hAnsi="宋体" w:eastAsia="宋体" w:cs="楷体"/>
          <w:bCs/>
          <w:snapToGrid w:val="0"/>
          <w:color w:val="auto"/>
          <w:szCs w:val="24"/>
          <w:highlight w:val="none"/>
          <w:u w:val="none"/>
          <w:lang w:val="en-US" w:eastAsia="zh-CN"/>
        </w:rPr>
      </w:pPr>
      <w:r>
        <w:rPr>
          <w:rFonts w:hint="eastAsia" w:ascii="Times New Roman" w:hAnsi="宋体" w:eastAsia="宋体" w:cs="楷体"/>
          <w:bCs/>
          <w:snapToGrid w:val="0"/>
          <w:color w:val="auto"/>
          <w:szCs w:val="24"/>
          <w:highlight w:val="none"/>
          <w:u w:val="none"/>
          <w:lang w:val="en-US" w:eastAsia="zh-CN"/>
        </w:rPr>
        <w:t>[户名：安徽合肥公共资源交易中心；开户行：中国银行合肥庐阳支行；子账号：188751456238]</w:t>
      </w:r>
    </w:p>
    <w:p w14:paraId="2E171DD3">
      <w:pPr>
        <w:spacing w:line="440" w:lineRule="exact"/>
        <w:ind w:firstLine="480" w:firstLineChars="200"/>
      </w:pPr>
      <w:r>
        <w:rPr>
          <w:rFonts w:hint="eastAsia" w:ascii="Times New Roman" w:hAnsi="宋体" w:eastAsia="宋体" w:cs="楷体"/>
          <w:bCs/>
          <w:snapToGrid w:val="0"/>
          <w:color w:val="auto"/>
          <w:szCs w:val="24"/>
          <w:highlight w:val="none"/>
          <w:u w:val="none"/>
          <w:lang w:val="en-US" w:eastAsia="zh-CN"/>
        </w:rPr>
        <w:t>[户名：安徽合肥公共资源交易中心；开户行：徽商银行股份有限公司合肥蜀山支行；子账号：1023701021001095993265778]</w:t>
      </w:r>
      <w:bookmarkStart w:id="55" w:name="_GoBack"/>
      <w:bookmarkEnd w:id="5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A05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2"/>
    <w:next w:val="1"/>
    <w:qFormat/>
    <w:uiPriority w:val="0"/>
    <w:pPr>
      <w:keepNext/>
      <w:keepLines/>
      <w:widowControl w:val="0"/>
      <w:spacing w:before="100" w:beforeLines="100" w:after="100" w:afterLines="100" w:line="240" w:lineRule="auto"/>
      <w:jc w:val="left"/>
      <w:outlineLvl w:val="1"/>
    </w:pPr>
    <w:rPr>
      <w:rFonts w:ascii="Cambria" w:hAnsi="Cambria" w:eastAsia="黑体" w:cs="Times New Roman"/>
      <w:b/>
      <w:bCs/>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qFormat/>
    <w:uiPriority w:val="0"/>
    <w:pPr>
      <w:widowControl w:val="0"/>
      <w:adjustRightInd w:val="0"/>
      <w:spacing w:line="360" w:lineRule="atLeast"/>
      <w:jc w:val="left"/>
      <w:textAlignment w:val="baseline"/>
    </w:pPr>
    <w:rPr>
      <w:rFonts w:ascii="Times New Roman" w:hAnsi="Times New Roman" w:eastAsia="宋体" w:cs="Times New Roman"/>
      <w:kern w:val="0"/>
      <w:sz w:val="24"/>
      <w:szCs w:val="20"/>
      <w:lang w:val="en-US" w:eastAsia="zh-CN" w:bidi="ar-SA"/>
    </w:rPr>
  </w:style>
  <w:style w:type="paragraph" w:styleId="4">
    <w:name w:val="Body Text"/>
    <w:next w:val="1"/>
    <w:qFormat/>
    <w:uiPriority w:val="0"/>
    <w:pPr>
      <w:widowControl w:val="0"/>
      <w:spacing w:after="120" w:line="360" w:lineRule="auto"/>
      <w:jc w:val="both"/>
    </w:pPr>
    <w:rPr>
      <w:rFonts w:ascii="Times New Roman" w:hAnsi="Times New Roman" w:eastAsia="宋体" w:cs="Times New Roman"/>
      <w:kern w:val="2"/>
      <w:sz w:val="24"/>
      <w:szCs w:val="24"/>
      <w:lang w:val="en-US" w:eastAsia="zh-CN" w:bidi="ar-SA"/>
    </w:rPr>
  </w:style>
  <w:style w:type="paragraph" w:styleId="5">
    <w:name w:val="Normal (Web)"/>
    <w:qFormat/>
    <w:uiPriority w:val="0"/>
    <w:pPr>
      <w:widowControl/>
      <w:spacing w:before="100" w:beforeAutospacing="1" w:after="100" w:afterAutospacing="1" w:line="360" w:lineRule="auto"/>
      <w:jc w:val="left"/>
    </w:pPr>
    <w:rPr>
      <w:rFonts w:ascii="宋体" w:hAnsi="宋体" w:eastAsia="宋体" w:cs="宋体"/>
      <w:color w:val="0066CC"/>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2026-08-04T08:01:07Z</dcterms:created>
  <dc:creator>Administrator</dc:creator>
  <cp:lastModifiedBy>Administrator</cp:lastModifiedBy>
  <dcterms:modified xsi:type="dcterms:W3CDTF">2026-08-04T08:01:31Z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eyJoZGlkIjoiMmFkMmU2YmE1ZWI3MjY1MmM1MTFhNGQ2ZjZhNzRjNTkiLCJ1c2VySWQiOiIxNTg5OTM4MjQ5In0=</vt:lpwstr>
  </property>
  <property fmtid="{D5CDD505-2E9C-101B-9397-08002B2CF9AE}" pid="4" name="ICV">
    <vt:lpwstr>ED7A65593B354E25BCFA7A74DCE49AEC_12</vt:lpwstr>
  </property>
</Properties>
</file>